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4E91BE" w14:textId="29C7361B" w:rsidR="000C0B5C" w:rsidRPr="003E3755" w:rsidRDefault="000C0B5C" w:rsidP="00815200">
      <w:pPr>
        <w:spacing w:after="120" w:line="240" w:lineRule="auto"/>
        <w:rPr>
          <w:rFonts w:ascii="Arial" w:hAnsi="Arial" w:cs="Arial"/>
          <w:b/>
        </w:rPr>
      </w:pPr>
      <w:bookmarkStart w:id="0" w:name="_GoBack"/>
      <w:bookmarkEnd w:id="0"/>
      <w:r w:rsidRPr="000C0B5C">
        <w:rPr>
          <w:rFonts w:ascii="Arial" w:hAnsi="Arial" w:cs="Arial"/>
          <w:b/>
        </w:rPr>
        <w:t>FOR RELEA</w:t>
      </w:r>
      <w:r w:rsidR="003E3755">
        <w:rPr>
          <w:rFonts w:ascii="Arial" w:hAnsi="Arial" w:cs="Arial"/>
          <w:b/>
        </w:rPr>
        <w:t xml:space="preserve">SE AT </w:t>
      </w:r>
      <w:r w:rsidR="00A86028">
        <w:rPr>
          <w:rFonts w:ascii="Arial" w:hAnsi="Arial" w:cs="Arial"/>
          <w:b/>
        </w:rPr>
        <w:t>10</w:t>
      </w:r>
      <w:r w:rsidR="003E3755">
        <w:rPr>
          <w:rFonts w:ascii="Arial" w:hAnsi="Arial" w:cs="Arial"/>
          <w:b/>
        </w:rPr>
        <w:t>:</w:t>
      </w:r>
      <w:r w:rsidR="00A86028">
        <w:rPr>
          <w:rFonts w:ascii="Arial" w:hAnsi="Arial" w:cs="Arial"/>
          <w:b/>
        </w:rPr>
        <w:t>0</w:t>
      </w:r>
      <w:r w:rsidR="00E30DE6">
        <w:rPr>
          <w:rFonts w:ascii="Arial" w:hAnsi="Arial" w:cs="Arial"/>
          <w:b/>
        </w:rPr>
        <w:t>0 AM ES</w:t>
      </w:r>
      <w:r w:rsidR="003E3755">
        <w:rPr>
          <w:rFonts w:ascii="Arial" w:hAnsi="Arial" w:cs="Arial"/>
          <w:b/>
        </w:rPr>
        <w:t xml:space="preserve">T, </w:t>
      </w:r>
      <w:r w:rsidR="00E30DE6">
        <w:rPr>
          <w:rFonts w:ascii="Arial" w:hAnsi="Arial" w:cs="Arial"/>
          <w:b/>
        </w:rPr>
        <w:t>MON</w:t>
      </w:r>
      <w:r w:rsidR="00464F62">
        <w:rPr>
          <w:rFonts w:ascii="Arial" w:hAnsi="Arial" w:cs="Arial"/>
          <w:b/>
        </w:rPr>
        <w:t xml:space="preserve">DAY, </w:t>
      </w:r>
      <w:r w:rsidR="00E30DE6">
        <w:rPr>
          <w:rFonts w:ascii="Arial" w:hAnsi="Arial" w:cs="Arial"/>
          <w:b/>
        </w:rPr>
        <w:t>DEC</w:t>
      </w:r>
      <w:r w:rsidR="00965442">
        <w:rPr>
          <w:rFonts w:ascii="Arial" w:hAnsi="Arial" w:cs="Arial"/>
          <w:b/>
        </w:rPr>
        <w:t>EMBER</w:t>
      </w:r>
      <w:r w:rsidR="003E3755">
        <w:rPr>
          <w:rFonts w:ascii="Arial" w:hAnsi="Arial" w:cs="Arial"/>
          <w:b/>
        </w:rPr>
        <w:t xml:space="preserve"> </w:t>
      </w:r>
      <w:r w:rsidR="00E30DE6">
        <w:rPr>
          <w:rFonts w:ascii="Arial" w:hAnsi="Arial" w:cs="Arial"/>
          <w:b/>
        </w:rPr>
        <w:t>5</w:t>
      </w:r>
      <w:r w:rsidR="003E3755">
        <w:rPr>
          <w:rFonts w:ascii="Arial" w:hAnsi="Arial" w:cs="Arial"/>
          <w:b/>
        </w:rPr>
        <w:t>, 201</w:t>
      </w:r>
      <w:r w:rsidR="00A86028">
        <w:rPr>
          <w:rFonts w:ascii="Arial" w:hAnsi="Arial" w:cs="Arial"/>
          <w:b/>
        </w:rPr>
        <w:t>6</w:t>
      </w:r>
    </w:p>
    <w:p w14:paraId="5B9C1ECB" w14:textId="78ACFB2E" w:rsidR="003E3755" w:rsidRPr="003E3755" w:rsidRDefault="00642F74" w:rsidP="00815200">
      <w:pPr>
        <w:spacing w:after="120" w:line="240" w:lineRule="auto"/>
        <w:rPr>
          <w:rFonts w:ascii="Arial" w:hAnsi="Arial" w:cs="Arial"/>
          <w:b/>
          <w:sz w:val="28"/>
          <w:szCs w:val="28"/>
        </w:rPr>
      </w:pPr>
      <w:r>
        <w:rPr>
          <w:rFonts w:ascii="Arial" w:hAnsi="Arial" w:cs="Arial"/>
          <w:b/>
          <w:sz w:val="28"/>
          <w:szCs w:val="28"/>
        </w:rPr>
        <w:t xml:space="preserve">QUARTERLY FINANCIAL REPORT: </w:t>
      </w:r>
      <w:r w:rsidR="00572D2C">
        <w:rPr>
          <w:rFonts w:ascii="Arial" w:hAnsi="Arial" w:cs="Arial"/>
          <w:b/>
          <w:sz w:val="28"/>
          <w:szCs w:val="28"/>
        </w:rPr>
        <w:t>LARGE U.S. RETAIL</w:t>
      </w:r>
      <w:r w:rsidR="00A86028" w:rsidRPr="00A86028">
        <w:rPr>
          <w:rFonts w:ascii="Arial" w:hAnsi="Arial" w:cs="Arial"/>
          <w:b/>
          <w:sz w:val="28"/>
          <w:szCs w:val="28"/>
        </w:rPr>
        <w:t xml:space="preserve"> TRADE</w:t>
      </w:r>
      <w:r w:rsidR="00572D2C">
        <w:rPr>
          <w:rFonts w:ascii="Arial" w:hAnsi="Arial" w:cs="Arial"/>
          <w:b/>
          <w:sz w:val="28"/>
          <w:szCs w:val="28"/>
        </w:rPr>
        <w:t xml:space="preserve"> CORPORATIONS</w:t>
      </w:r>
      <w:r>
        <w:rPr>
          <w:rFonts w:ascii="Arial" w:hAnsi="Arial" w:cs="Arial"/>
          <w:b/>
          <w:sz w:val="28"/>
          <w:szCs w:val="28"/>
        </w:rPr>
        <w:t xml:space="preserve">, </w:t>
      </w:r>
      <w:r w:rsidR="00E30DE6">
        <w:rPr>
          <w:rFonts w:ascii="Arial" w:hAnsi="Arial" w:cs="Arial"/>
          <w:b/>
          <w:sz w:val="28"/>
          <w:szCs w:val="28"/>
        </w:rPr>
        <w:t>THIR</w:t>
      </w:r>
      <w:r w:rsidR="00965442">
        <w:rPr>
          <w:rFonts w:ascii="Arial" w:hAnsi="Arial" w:cs="Arial"/>
          <w:b/>
          <w:sz w:val="28"/>
          <w:szCs w:val="28"/>
        </w:rPr>
        <w:t>D</w:t>
      </w:r>
      <w:r>
        <w:rPr>
          <w:rFonts w:ascii="Arial" w:hAnsi="Arial" w:cs="Arial"/>
          <w:b/>
          <w:sz w:val="28"/>
          <w:szCs w:val="28"/>
        </w:rPr>
        <w:t xml:space="preserve"> QUARTER 2016</w:t>
      </w:r>
    </w:p>
    <w:p w14:paraId="2AB68F0B" w14:textId="04412AFE" w:rsidR="00D62B44" w:rsidRPr="00E30DE6" w:rsidRDefault="00071CE7" w:rsidP="00E30DE6">
      <w:pPr>
        <w:spacing w:line="240" w:lineRule="auto"/>
        <w:rPr>
          <w:rFonts w:ascii="Times New Roman" w:hAnsi="Times New Roman" w:cs="Times New Roman"/>
          <w:sz w:val="24"/>
          <w:szCs w:val="24"/>
        </w:rPr>
        <w:sectPr w:rsidR="00D62B44" w:rsidRPr="00E30DE6" w:rsidSect="00557023">
          <w:headerReference w:type="even" r:id="rId13"/>
          <w:headerReference w:type="default" r:id="rId14"/>
          <w:footerReference w:type="even" r:id="rId15"/>
          <w:footerReference w:type="default" r:id="rId16"/>
          <w:headerReference w:type="first" r:id="rId17"/>
          <w:footerReference w:type="first" r:id="rId18"/>
          <w:pgSz w:w="12240" w:h="15840"/>
          <w:pgMar w:top="450" w:right="720" w:bottom="720" w:left="720" w:header="720" w:footer="432" w:gutter="0"/>
          <w:cols w:space="720"/>
          <w:docGrid w:linePitch="360"/>
        </w:sectPr>
      </w:pPr>
      <w:r w:rsidRPr="005B61C2">
        <w:rPr>
          <w:rFonts w:ascii="Times New Roman" w:hAnsi="Times New Roman" w:cs="Times New Roman"/>
          <w:sz w:val="24"/>
          <w:szCs w:val="24"/>
        </w:rPr>
        <w:t>Releas</w:t>
      </w:r>
      <w:r w:rsidR="000065B4" w:rsidRPr="005B61C2">
        <w:rPr>
          <w:rFonts w:ascii="Times New Roman" w:hAnsi="Times New Roman" w:cs="Times New Roman"/>
          <w:sz w:val="24"/>
          <w:szCs w:val="24"/>
        </w:rPr>
        <w:t>e Number: CB</w:t>
      </w:r>
      <w:r w:rsidR="00A86028">
        <w:rPr>
          <w:rFonts w:ascii="Times New Roman" w:hAnsi="Times New Roman" w:cs="Times New Roman"/>
          <w:sz w:val="24"/>
          <w:szCs w:val="24"/>
        </w:rPr>
        <w:t>16</w:t>
      </w:r>
      <w:r w:rsidR="000065B4" w:rsidRPr="005B61C2">
        <w:rPr>
          <w:rFonts w:ascii="Times New Roman" w:hAnsi="Times New Roman" w:cs="Times New Roman"/>
          <w:sz w:val="24"/>
          <w:szCs w:val="24"/>
        </w:rPr>
        <w:t>-</w:t>
      </w:r>
      <w:r w:rsidR="00E30DE6">
        <w:rPr>
          <w:rFonts w:ascii="Times New Roman" w:hAnsi="Times New Roman" w:cs="Times New Roman"/>
          <w:sz w:val="24"/>
          <w:szCs w:val="24"/>
        </w:rPr>
        <w:t>202</w:t>
      </w:r>
    </w:p>
    <w:p w14:paraId="48307893" w14:textId="7757B3DE" w:rsidR="00F65176" w:rsidRPr="005B61C2" w:rsidRDefault="00CF0492" w:rsidP="005B61C2">
      <w:pPr>
        <w:spacing w:after="0"/>
        <w:ind w:left="-360"/>
        <w:rPr>
          <w:rFonts w:ascii="Times New Roman" w:hAnsi="Times New Roman" w:cs="Times New Roman"/>
          <w:sz w:val="24"/>
          <w:szCs w:val="24"/>
        </w:rPr>
      </w:pPr>
      <w:r>
        <w:rPr>
          <w:noProof/>
        </w:rPr>
        <w:lastRenderedPageBreak/>
        <w:drawing>
          <wp:anchor distT="0" distB="0" distL="114300" distR="114300" simplePos="0" relativeHeight="251662336" behindDoc="0" locked="0" layoutInCell="1" allowOverlap="1" wp14:anchorId="4494239D" wp14:editId="3BBD851C">
            <wp:simplePos x="0" y="0"/>
            <wp:positionH relativeFrom="column">
              <wp:posOffset>3223591</wp:posOffset>
            </wp:positionH>
            <wp:positionV relativeFrom="paragraph">
              <wp:posOffset>601235</wp:posOffset>
            </wp:positionV>
            <wp:extent cx="3511826" cy="2372139"/>
            <wp:effectExtent l="0" t="0" r="12700" b="9525"/>
            <wp:wrapNone/>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00E30DE6">
        <w:rPr>
          <w:rFonts w:ascii="Times New Roman" w:hAnsi="Times New Roman" w:cs="Times New Roman"/>
          <w:b/>
          <w:sz w:val="24"/>
          <w:szCs w:val="24"/>
        </w:rPr>
        <w:t>Dec</w:t>
      </w:r>
      <w:r w:rsidR="00965442">
        <w:rPr>
          <w:rFonts w:ascii="Times New Roman" w:hAnsi="Times New Roman" w:cs="Times New Roman"/>
          <w:b/>
          <w:sz w:val="24"/>
          <w:szCs w:val="24"/>
        </w:rPr>
        <w:t xml:space="preserve">ember </w:t>
      </w:r>
      <w:r w:rsidR="00E30DE6">
        <w:rPr>
          <w:rFonts w:ascii="Times New Roman" w:hAnsi="Times New Roman" w:cs="Times New Roman"/>
          <w:b/>
          <w:sz w:val="24"/>
          <w:szCs w:val="24"/>
        </w:rPr>
        <w:t>5</w:t>
      </w:r>
      <w:r w:rsidR="00FA78EE" w:rsidRPr="005B61C2">
        <w:rPr>
          <w:rFonts w:ascii="Times New Roman" w:hAnsi="Times New Roman" w:cs="Times New Roman"/>
          <w:b/>
          <w:sz w:val="24"/>
          <w:szCs w:val="24"/>
        </w:rPr>
        <w:t>, 201</w:t>
      </w:r>
      <w:r w:rsidR="00375921">
        <w:rPr>
          <w:rFonts w:ascii="Times New Roman" w:hAnsi="Times New Roman" w:cs="Times New Roman"/>
          <w:b/>
          <w:sz w:val="24"/>
          <w:szCs w:val="24"/>
        </w:rPr>
        <w:t>6</w:t>
      </w:r>
      <w:r w:rsidR="00FA78EE" w:rsidRPr="005B61C2">
        <w:rPr>
          <w:rFonts w:ascii="Times New Roman" w:hAnsi="Times New Roman" w:cs="Times New Roman"/>
          <w:b/>
          <w:sz w:val="24"/>
          <w:szCs w:val="24"/>
        </w:rPr>
        <w:t xml:space="preserve"> </w:t>
      </w:r>
      <w:r w:rsidR="00FA78EE" w:rsidRPr="005B61C2">
        <w:rPr>
          <w:rFonts w:ascii="Times New Roman" w:hAnsi="Times New Roman" w:cs="Times New Roman"/>
          <w:sz w:val="24"/>
          <w:szCs w:val="24"/>
        </w:rPr>
        <w:t>—</w:t>
      </w:r>
      <w:r w:rsidR="00FA78EE" w:rsidRPr="005B61C2">
        <w:rPr>
          <w:rFonts w:ascii="Times New Roman" w:hAnsi="Times New Roman" w:cs="Times New Roman"/>
          <w:b/>
          <w:sz w:val="24"/>
          <w:szCs w:val="24"/>
        </w:rPr>
        <w:t xml:space="preserve"> </w:t>
      </w:r>
      <w:r w:rsidR="00F65176" w:rsidRPr="005B61C2">
        <w:rPr>
          <w:rFonts w:ascii="Times New Roman" w:hAnsi="Times New Roman" w:cs="Times New Roman"/>
          <w:sz w:val="24"/>
          <w:szCs w:val="24"/>
        </w:rPr>
        <w:t>The U.S. Census Bureau announced the following</w:t>
      </w:r>
      <w:r w:rsidR="00DC4510">
        <w:rPr>
          <w:rFonts w:ascii="Times New Roman" w:hAnsi="Times New Roman" w:cs="Times New Roman"/>
          <w:sz w:val="24"/>
          <w:szCs w:val="24"/>
        </w:rPr>
        <w:t xml:space="preserve"> seasonally adjusted quarterly after-tax profits for</w:t>
      </w:r>
      <w:r w:rsidR="00375921">
        <w:rPr>
          <w:rFonts w:ascii="Times New Roman" w:hAnsi="Times New Roman" w:cs="Times New Roman"/>
          <w:sz w:val="24"/>
          <w:szCs w:val="24"/>
        </w:rPr>
        <w:t xml:space="preserve"> </w:t>
      </w:r>
      <w:r w:rsidR="00572D2C">
        <w:rPr>
          <w:rFonts w:ascii="Times New Roman" w:hAnsi="Times New Roman" w:cs="Times New Roman"/>
          <w:sz w:val="24"/>
          <w:szCs w:val="24"/>
        </w:rPr>
        <w:t>retail</w:t>
      </w:r>
      <w:r w:rsidR="00375921">
        <w:rPr>
          <w:rFonts w:ascii="Times New Roman" w:hAnsi="Times New Roman" w:cs="Times New Roman"/>
          <w:sz w:val="24"/>
          <w:szCs w:val="24"/>
        </w:rPr>
        <w:t xml:space="preserve"> trade industries</w:t>
      </w:r>
      <w:r w:rsidR="00F65176" w:rsidRPr="005B61C2">
        <w:rPr>
          <w:rFonts w:ascii="Times New Roman" w:hAnsi="Times New Roman" w:cs="Times New Roman"/>
          <w:sz w:val="24"/>
          <w:szCs w:val="24"/>
        </w:rPr>
        <w:t xml:space="preserve"> statistics </w:t>
      </w:r>
      <w:r w:rsidR="00A34861">
        <w:rPr>
          <w:rFonts w:ascii="Times New Roman" w:hAnsi="Times New Roman" w:cs="Times New Roman"/>
          <w:sz w:val="24"/>
          <w:szCs w:val="24"/>
        </w:rPr>
        <w:t>for</w:t>
      </w:r>
      <w:r w:rsidR="00DC4510">
        <w:rPr>
          <w:rFonts w:ascii="Times New Roman" w:hAnsi="Times New Roman" w:cs="Times New Roman"/>
          <w:sz w:val="24"/>
          <w:szCs w:val="24"/>
        </w:rPr>
        <w:t xml:space="preserve"> </w:t>
      </w:r>
      <w:r w:rsidR="00500EAD">
        <w:rPr>
          <w:rFonts w:ascii="Times New Roman" w:hAnsi="Times New Roman" w:cs="Times New Roman"/>
          <w:sz w:val="24"/>
          <w:szCs w:val="24"/>
        </w:rPr>
        <w:t>Third</w:t>
      </w:r>
      <w:r w:rsidR="00A62CC8">
        <w:rPr>
          <w:rFonts w:ascii="Times New Roman" w:hAnsi="Times New Roman" w:cs="Times New Roman"/>
          <w:sz w:val="24"/>
          <w:szCs w:val="24"/>
        </w:rPr>
        <w:t xml:space="preserve"> Quarter 2016</w:t>
      </w:r>
      <w:r w:rsidR="00F65176" w:rsidRPr="005B61C2">
        <w:rPr>
          <w:rFonts w:ascii="Times New Roman" w:hAnsi="Times New Roman" w:cs="Times New Roman"/>
          <w:sz w:val="24"/>
          <w:szCs w:val="24"/>
        </w:rPr>
        <w:t>:</w:t>
      </w:r>
      <w:r w:rsidR="00B00512">
        <w:rPr>
          <w:rFonts w:ascii="Times New Roman" w:hAnsi="Times New Roman" w:cs="Times New Roman"/>
          <w:sz w:val="24"/>
          <w:szCs w:val="24"/>
        </w:rPr>
        <w:br/>
      </w:r>
    </w:p>
    <w:tbl>
      <w:tblPr>
        <w:tblStyle w:val="TableGrid"/>
        <w:tblW w:w="0" w:type="auto"/>
        <w:tblInd w:w="-144" w:type="dxa"/>
        <w:tblBorders>
          <w:insideH w:val="none" w:sz="0" w:space="0" w:color="auto"/>
          <w:insideV w:val="none" w:sz="0" w:space="0" w:color="auto"/>
        </w:tblBorders>
        <w:tblLayout w:type="fixed"/>
        <w:tblCellMar>
          <w:top w:w="144" w:type="dxa"/>
          <w:left w:w="144" w:type="dxa"/>
          <w:right w:w="144" w:type="dxa"/>
        </w:tblCellMar>
        <w:tblLook w:val="04A0" w:firstRow="1" w:lastRow="0" w:firstColumn="1" w:lastColumn="0" w:noHBand="0" w:noVBand="1"/>
      </w:tblPr>
      <w:tblGrid>
        <w:gridCol w:w="2628"/>
        <w:gridCol w:w="1710"/>
        <w:gridCol w:w="582"/>
      </w:tblGrid>
      <w:tr w:rsidR="003D3D66" w:rsidRPr="00C47FEC" w14:paraId="20DCAF20" w14:textId="77777777" w:rsidTr="00CF0492">
        <w:trPr>
          <w:trHeight w:val="611"/>
        </w:trPr>
        <w:tc>
          <w:tcPr>
            <w:tcW w:w="4920" w:type="dxa"/>
            <w:gridSpan w:val="3"/>
            <w:shd w:val="clear" w:color="auto" w:fill="DBE5F1" w:themeFill="accent1" w:themeFillTint="33"/>
            <w:vAlign w:val="center"/>
          </w:tcPr>
          <w:p w14:paraId="236A4AFC" w14:textId="2A4FAF77" w:rsidR="00F337CD" w:rsidRPr="002638AE" w:rsidRDefault="002638AE" w:rsidP="00F337CD">
            <w:pPr>
              <w:rPr>
                <w:rFonts w:ascii="Arial" w:hAnsi="Arial" w:cs="Arial"/>
                <w:b/>
                <w:sz w:val="20"/>
                <w:szCs w:val="20"/>
              </w:rPr>
            </w:pPr>
            <w:r w:rsidRPr="00C47FEC">
              <w:rPr>
                <w:rFonts w:cs="Times New Roman"/>
                <w:b/>
                <w:noProof/>
              </w:rPr>
              <w:drawing>
                <wp:anchor distT="0" distB="0" distL="114300" distR="114300" simplePos="0" relativeHeight="251659264" behindDoc="0" locked="0" layoutInCell="1" allowOverlap="1" wp14:anchorId="7D14CC5E" wp14:editId="2090C29C">
                  <wp:simplePos x="0" y="0"/>
                  <wp:positionH relativeFrom="column">
                    <wp:posOffset>61595</wp:posOffset>
                  </wp:positionH>
                  <wp:positionV relativeFrom="paragraph">
                    <wp:posOffset>24765</wp:posOffset>
                  </wp:positionV>
                  <wp:extent cx="328930" cy="240665"/>
                  <wp:effectExtent l="0" t="0" r="0" b="698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ss.png"/>
                          <pic:cNvPicPr/>
                        </pic:nvPicPr>
                        <pic:blipFill>
                          <a:blip r:embed="rId20">
                            <a:extLst>
                              <a:ext uri="{28A0092B-C50C-407E-A947-70E740481C1C}">
                                <a14:useLocalDpi xmlns:a14="http://schemas.microsoft.com/office/drawing/2010/main" val="0"/>
                              </a:ext>
                            </a:extLst>
                          </a:blip>
                          <a:stretch>
                            <a:fillRect/>
                          </a:stretch>
                        </pic:blipFill>
                        <pic:spPr>
                          <a:xfrm>
                            <a:off x="0" y="0"/>
                            <a:ext cx="328930" cy="240665"/>
                          </a:xfrm>
                          <a:prstGeom prst="rect">
                            <a:avLst/>
                          </a:prstGeom>
                        </pic:spPr>
                      </pic:pic>
                    </a:graphicData>
                  </a:graphic>
                  <wp14:sizeRelH relativeFrom="margin">
                    <wp14:pctWidth>0</wp14:pctWidth>
                  </wp14:sizeRelH>
                  <wp14:sizeRelV relativeFrom="margin">
                    <wp14:pctHeight>0</wp14:pctHeight>
                  </wp14:sizeRelV>
                </wp:anchor>
              </w:drawing>
            </w:r>
            <w:r w:rsidR="000F6AB4">
              <w:rPr>
                <w:rFonts w:cs="Times New Roman"/>
                <w:b/>
              </w:rPr>
              <w:t xml:space="preserve">             </w:t>
            </w:r>
            <w:r>
              <w:rPr>
                <w:rFonts w:cs="Times New Roman"/>
                <w:b/>
              </w:rPr>
              <w:t xml:space="preserve">  </w:t>
            </w:r>
            <w:r w:rsidR="00F337CD" w:rsidRPr="002638AE">
              <w:rPr>
                <w:rFonts w:ascii="Arial" w:hAnsi="Arial" w:cs="Arial"/>
                <w:b/>
                <w:sz w:val="20"/>
                <w:szCs w:val="20"/>
              </w:rPr>
              <w:t>U.S. RETAIL TRADE CORPORATIONS</w:t>
            </w:r>
          </w:p>
          <w:p w14:paraId="7C2E8CCE" w14:textId="32B086C3" w:rsidR="000F6AB4" w:rsidRPr="00C47FEC" w:rsidRDefault="00F337CD" w:rsidP="00CF0492">
            <w:pPr>
              <w:rPr>
                <w:rFonts w:cs="Times New Roman"/>
                <w:b/>
              </w:rPr>
            </w:pPr>
            <w:r w:rsidRPr="002638AE">
              <w:rPr>
                <w:rFonts w:ascii="Arial" w:hAnsi="Arial" w:cs="Arial"/>
                <w:b/>
                <w:sz w:val="20"/>
                <w:szCs w:val="20"/>
              </w:rPr>
              <w:t xml:space="preserve">             QUARTERLY AFTER-TAX PROFITS</w:t>
            </w:r>
          </w:p>
        </w:tc>
      </w:tr>
      <w:tr w:rsidR="003D3D66" w:rsidRPr="00CE14D6" w14:paraId="7C244430" w14:textId="77777777" w:rsidTr="00625D99">
        <w:trPr>
          <w:trHeight w:val="486"/>
        </w:trPr>
        <w:tc>
          <w:tcPr>
            <w:tcW w:w="2628" w:type="dxa"/>
            <w:shd w:val="clear" w:color="auto" w:fill="auto"/>
          </w:tcPr>
          <w:p w14:paraId="3CF4B988" w14:textId="77777777" w:rsidR="00625D99" w:rsidRDefault="00625D99" w:rsidP="00625D99">
            <w:pPr>
              <w:jc w:val="right"/>
              <w:rPr>
                <w:rFonts w:ascii="Arial" w:hAnsi="Arial" w:cs="Arial"/>
                <w:b/>
                <w:sz w:val="16"/>
                <w:szCs w:val="16"/>
              </w:rPr>
            </w:pPr>
          </w:p>
          <w:p w14:paraId="4D3734DE" w14:textId="63316908" w:rsidR="003D3D66" w:rsidRPr="002638AE" w:rsidRDefault="008B0EFE" w:rsidP="00965442">
            <w:pPr>
              <w:jc w:val="right"/>
              <w:rPr>
                <w:rFonts w:ascii="Arial" w:hAnsi="Arial" w:cs="Arial"/>
                <w:b/>
                <w:sz w:val="16"/>
                <w:szCs w:val="16"/>
              </w:rPr>
            </w:pPr>
            <w:r>
              <w:rPr>
                <w:rFonts w:ascii="Arial" w:hAnsi="Arial" w:cs="Arial"/>
                <w:b/>
                <w:sz w:val="16"/>
                <w:szCs w:val="16"/>
              </w:rPr>
              <w:t>Thir</w:t>
            </w:r>
            <w:r w:rsidR="00965442">
              <w:rPr>
                <w:rFonts w:ascii="Arial" w:hAnsi="Arial" w:cs="Arial"/>
                <w:b/>
                <w:sz w:val="16"/>
                <w:szCs w:val="16"/>
              </w:rPr>
              <w:t>d</w:t>
            </w:r>
            <w:r w:rsidR="00625D99" w:rsidRPr="00255A02">
              <w:rPr>
                <w:rFonts w:ascii="Arial" w:hAnsi="Arial" w:cs="Arial"/>
                <w:b/>
                <w:sz w:val="16"/>
                <w:szCs w:val="16"/>
                <w:vertAlign w:val="superscript"/>
              </w:rPr>
              <w:t xml:space="preserve"> </w:t>
            </w:r>
            <w:r w:rsidR="00625D99" w:rsidRPr="00255A02">
              <w:rPr>
                <w:rFonts w:ascii="Arial" w:hAnsi="Arial" w:cs="Arial"/>
                <w:b/>
                <w:sz w:val="16"/>
                <w:szCs w:val="16"/>
              </w:rPr>
              <w:t>Quarter 2016</w:t>
            </w:r>
          </w:p>
        </w:tc>
        <w:tc>
          <w:tcPr>
            <w:tcW w:w="1710" w:type="dxa"/>
            <w:shd w:val="clear" w:color="auto" w:fill="auto"/>
            <w:vAlign w:val="center"/>
          </w:tcPr>
          <w:p w14:paraId="59F4051C" w14:textId="68071C83" w:rsidR="003D3D66" w:rsidRPr="002638AE" w:rsidRDefault="00074119" w:rsidP="008B0EFE">
            <w:pPr>
              <w:jc w:val="center"/>
              <w:rPr>
                <w:rFonts w:ascii="Arial" w:hAnsi="Arial" w:cs="Arial"/>
                <w:b/>
                <w:sz w:val="16"/>
                <w:szCs w:val="16"/>
              </w:rPr>
            </w:pPr>
            <w:r w:rsidRPr="002638AE">
              <w:rPr>
                <w:rFonts w:ascii="Arial" w:hAnsi="Arial" w:cs="Arial"/>
                <w:b/>
                <w:sz w:val="16"/>
                <w:szCs w:val="16"/>
              </w:rPr>
              <w:t>$2</w:t>
            </w:r>
            <w:r w:rsidR="008B0EFE">
              <w:rPr>
                <w:rFonts w:ascii="Arial" w:hAnsi="Arial" w:cs="Arial"/>
                <w:b/>
                <w:sz w:val="16"/>
                <w:szCs w:val="16"/>
              </w:rPr>
              <w:t>3.9</w:t>
            </w:r>
            <w:r w:rsidR="007120A7" w:rsidRPr="002638AE">
              <w:rPr>
                <w:rFonts w:ascii="Arial" w:hAnsi="Arial" w:cs="Arial"/>
                <w:b/>
                <w:sz w:val="16"/>
                <w:szCs w:val="16"/>
              </w:rPr>
              <w:t xml:space="preserve"> billion</w:t>
            </w:r>
          </w:p>
        </w:tc>
        <w:tc>
          <w:tcPr>
            <w:tcW w:w="582" w:type="dxa"/>
            <w:shd w:val="clear" w:color="auto" w:fill="auto"/>
          </w:tcPr>
          <w:p w14:paraId="0174E28F" w14:textId="79C3431E" w:rsidR="003D3D66" w:rsidRPr="002638AE" w:rsidRDefault="003D3D66" w:rsidP="003D3D66">
            <w:pPr>
              <w:rPr>
                <w:rFonts w:ascii="Arial" w:hAnsi="Arial" w:cs="Arial"/>
                <w:b/>
                <w:sz w:val="16"/>
                <w:szCs w:val="16"/>
              </w:rPr>
            </w:pPr>
          </w:p>
        </w:tc>
      </w:tr>
      <w:tr w:rsidR="00074119" w:rsidRPr="00CE14D6" w14:paraId="6520E014" w14:textId="77777777" w:rsidTr="00625D99">
        <w:trPr>
          <w:trHeight w:val="482"/>
        </w:trPr>
        <w:tc>
          <w:tcPr>
            <w:tcW w:w="2628" w:type="dxa"/>
            <w:shd w:val="clear" w:color="auto" w:fill="auto"/>
          </w:tcPr>
          <w:p w14:paraId="27EEFEF6" w14:textId="7D69EB47" w:rsidR="00625D99" w:rsidRDefault="008B0EFE" w:rsidP="009A0012">
            <w:pPr>
              <w:jc w:val="right"/>
              <w:rPr>
                <w:rFonts w:ascii="Arial" w:hAnsi="Arial" w:cs="Arial"/>
                <w:b/>
                <w:sz w:val="16"/>
                <w:szCs w:val="16"/>
              </w:rPr>
            </w:pPr>
            <w:r>
              <w:rPr>
                <w:rFonts w:ascii="Arial" w:hAnsi="Arial" w:cs="Arial"/>
                <w:b/>
                <w:sz w:val="16"/>
                <w:szCs w:val="16"/>
              </w:rPr>
              <w:t>Second</w:t>
            </w:r>
            <w:r w:rsidR="009F34A9">
              <w:rPr>
                <w:rFonts w:ascii="Arial" w:hAnsi="Arial" w:cs="Arial"/>
                <w:b/>
                <w:sz w:val="16"/>
                <w:szCs w:val="16"/>
              </w:rPr>
              <w:t xml:space="preserve"> Quarter 2016</w:t>
            </w:r>
          </w:p>
          <w:p w14:paraId="2CECE8C7" w14:textId="16B7FC03" w:rsidR="00074119" w:rsidRPr="002638AE" w:rsidRDefault="00074119" w:rsidP="009A0012">
            <w:pPr>
              <w:jc w:val="right"/>
              <w:rPr>
                <w:rFonts w:ascii="Arial" w:hAnsi="Arial" w:cs="Arial"/>
                <w:b/>
                <w:sz w:val="16"/>
                <w:szCs w:val="16"/>
              </w:rPr>
            </w:pPr>
            <w:r w:rsidRPr="002638AE">
              <w:rPr>
                <w:rFonts w:ascii="Arial" w:hAnsi="Arial" w:cs="Arial"/>
                <w:b/>
                <w:sz w:val="16"/>
                <w:szCs w:val="16"/>
              </w:rPr>
              <w:t xml:space="preserve"> (Revised)</w:t>
            </w:r>
          </w:p>
        </w:tc>
        <w:tc>
          <w:tcPr>
            <w:tcW w:w="1710" w:type="dxa"/>
            <w:shd w:val="clear" w:color="auto" w:fill="auto"/>
            <w:vAlign w:val="center"/>
          </w:tcPr>
          <w:p w14:paraId="17AAE8D2" w14:textId="00A82733" w:rsidR="00074119" w:rsidRPr="002638AE" w:rsidRDefault="00074119" w:rsidP="008B0EFE">
            <w:pPr>
              <w:jc w:val="center"/>
              <w:rPr>
                <w:rFonts w:ascii="Arial" w:hAnsi="Arial" w:cs="Arial"/>
                <w:b/>
                <w:sz w:val="16"/>
                <w:szCs w:val="16"/>
              </w:rPr>
            </w:pPr>
            <w:r w:rsidRPr="002638AE">
              <w:rPr>
                <w:rFonts w:ascii="Arial" w:hAnsi="Arial" w:cs="Arial"/>
                <w:b/>
                <w:sz w:val="16"/>
                <w:szCs w:val="16"/>
              </w:rPr>
              <w:t>$2</w:t>
            </w:r>
            <w:r w:rsidR="008B0EFE">
              <w:rPr>
                <w:rFonts w:ascii="Arial" w:hAnsi="Arial" w:cs="Arial"/>
                <w:b/>
                <w:sz w:val="16"/>
                <w:szCs w:val="16"/>
              </w:rPr>
              <w:t>3.3</w:t>
            </w:r>
            <w:r w:rsidRPr="002638AE">
              <w:rPr>
                <w:rFonts w:ascii="Arial" w:hAnsi="Arial" w:cs="Arial"/>
                <w:b/>
                <w:sz w:val="16"/>
                <w:szCs w:val="16"/>
              </w:rPr>
              <w:t xml:space="preserve"> billion</w:t>
            </w:r>
          </w:p>
        </w:tc>
        <w:tc>
          <w:tcPr>
            <w:tcW w:w="582" w:type="dxa"/>
            <w:shd w:val="clear" w:color="auto" w:fill="auto"/>
          </w:tcPr>
          <w:p w14:paraId="12B2818E" w14:textId="77777777" w:rsidR="00074119" w:rsidRPr="002638AE" w:rsidRDefault="00074119" w:rsidP="003D3D66">
            <w:pPr>
              <w:rPr>
                <w:rFonts w:ascii="Arial" w:hAnsi="Arial" w:cs="Arial"/>
                <w:b/>
                <w:noProof/>
                <w:sz w:val="16"/>
                <w:szCs w:val="16"/>
              </w:rPr>
            </w:pPr>
          </w:p>
        </w:tc>
      </w:tr>
      <w:tr w:rsidR="003D3D66" w:rsidRPr="00CE14D6" w14:paraId="59896521" w14:textId="77777777" w:rsidTr="00625D99">
        <w:trPr>
          <w:trHeight w:val="482"/>
        </w:trPr>
        <w:tc>
          <w:tcPr>
            <w:tcW w:w="2628" w:type="dxa"/>
            <w:shd w:val="clear" w:color="auto" w:fill="auto"/>
          </w:tcPr>
          <w:p w14:paraId="2B4BC500" w14:textId="21C65FFF" w:rsidR="00625D99" w:rsidRDefault="008B0EFE" w:rsidP="009A0012">
            <w:pPr>
              <w:jc w:val="right"/>
              <w:rPr>
                <w:rFonts w:ascii="Arial" w:hAnsi="Arial" w:cs="Arial"/>
                <w:b/>
                <w:sz w:val="16"/>
                <w:szCs w:val="16"/>
              </w:rPr>
            </w:pPr>
            <w:r>
              <w:rPr>
                <w:rFonts w:ascii="Arial" w:hAnsi="Arial" w:cs="Arial"/>
                <w:b/>
                <w:sz w:val="16"/>
                <w:szCs w:val="16"/>
              </w:rPr>
              <w:t>Thir</w:t>
            </w:r>
            <w:r w:rsidR="00965442">
              <w:rPr>
                <w:rFonts w:ascii="Arial" w:hAnsi="Arial" w:cs="Arial"/>
                <w:b/>
                <w:sz w:val="16"/>
                <w:szCs w:val="16"/>
              </w:rPr>
              <w:t>d</w:t>
            </w:r>
            <w:r w:rsidR="00625D99">
              <w:rPr>
                <w:rFonts w:ascii="Arial" w:hAnsi="Arial" w:cs="Arial"/>
                <w:b/>
                <w:sz w:val="16"/>
                <w:szCs w:val="16"/>
              </w:rPr>
              <w:t xml:space="preserve"> </w:t>
            </w:r>
            <w:r w:rsidR="007120A7" w:rsidRPr="002638AE">
              <w:rPr>
                <w:rFonts w:ascii="Arial" w:hAnsi="Arial" w:cs="Arial"/>
                <w:b/>
                <w:sz w:val="16"/>
                <w:szCs w:val="16"/>
              </w:rPr>
              <w:t>Quarter 201</w:t>
            </w:r>
            <w:r w:rsidR="00642F74" w:rsidRPr="002638AE">
              <w:rPr>
                <w:rFonts w:ascii="Arial" w:hAnsi="Arial" w:cs="Arial"/>
                <w:b/>
                <w:sz w:val="16"/>
                <w:szCs w:val="16"/>
              </w:rPr>
              <w:t>5</w:t>
            </w:r>
            <w:r w:rsidR="00A34861" w:rsidRPr="002638AE">
              <w:rPr>
                <w:rFonts w:ascii="Arial" w:hAnsi="Arial" w:cs="Arial"/>
                <w:b/>
                <w:sz w:val="16"/>
                <w:szCs w:val="16"/>
              </w:rPr>
              <w:t xml:space="preserve"> </w:t>
            </w:r>
          </w:p>
          <w:p w14:paraId="1658E724" w14:textId="14D15689" w:rsidR="003D3D66" w:rsidRPr="002638AE" w:rsidRDefault="00642F74" w:rsidP="009A0012">
            <w:pPr>
              <w:jc w:val="right"/>
              <w:rPr>
                <w:rFonts w:ascii="Arial" w:hAnsi="Arial" w:cs="Arial"/>
                <w:b/>
                <w:sz w:val="16"/>
                <w:szCs w:val="16"/>
              </w:rPr>
            </w:pPr>
            <w:r w:rsidRPr="002638AE">
              <w:rPr>
                <w:rFonts w:ascii="Arial" w:hAnsi="Arial" w:cs="Arial"/>
                <w:b/>
                <w:sz w:val="16"/>
                <w:szCs w:val="16"/>
              </w:rPr>
              <w:t>(R</w:t>
            </w:r>
            <w:r w:rsidR="00074119" w:rsidRPr="002638AE">
              <w:rPr>
                <w:rFonts w:ascii="Arial" w:hAnsi="Arial" w:cs="Arial"/>
                <w:b/>
                <w:sz w:val="16"/>
                <w:szCs w:val="16"/>
              </w:rPr>
              <w:t>evised</w:t>
            </w:r>
            <w:r w:rsidRPr="002638AE">
              <w:rPr>
                <w:rFonts w:ascii="Arial" w:hAnsi="Arial" w:cs="Arial"/>
                <w:b/>
                <w:sz w:val="16"/>
                <w:szCs w:val="16"/>
              </w:rPr>
              <w:t>)</w:t>
            </w:r>
          </w:p>
        </w:tc>
        <w:tc>
          <w:tcPr>
            <w:tcW w:w="1710" w:type="dxa"/>
            <w:shd w:val="clear" w:color="auto" w:fill="auto"/>
            <w:vAlign w:val="center"/>
          </w:tcPr>
          <w:p w14:paraId="6BA81F20" w14:textId="3C6CD58A" w:rsidR="003D3D66" w:rsidRPr="002638AE" w:rsidRDefault="00074119" w:rsidP="008B0EFE">
            <w:pPr>
              <w:jc w:val="center"/>
              <w:rPr>
                <w:rFonts w:ascii="Arial" w:hAnsi="Arial" w:cs="Arial"/>
                <w:b/>
                <w:sz w:val="16"/>
                <w:szCs w:val="16"/>
              </w:rPr>
            </w:pPr>
            <w:r w:rsidRPr="002638AE">
              <w:rPr>
                <w:rFonts w:ascii="Arial" w:hAnsi="Arial" w:cs="Arial"/>
                <w:b/>
                <w:sz w:val="16"/>
                <w:szCs w:val="16"/>
              </w:rPr>
              <w:t>$</w:t>
            </w:r>
            <w:r w:rsidR="008B0EFE">
              <w:rPr>
                <w:rFonts w:ascii="Arial" w:hAnsi="Arial" w:cs="Arial"/>
                <w:b/>
                <w:sz w:val="16"/>
                <w:szCs w:val="16"/>
              </w:rPr>
              <w:t>20.1</w:t>
            </w:r>
            <w:r w:rsidRPr="002638AE">
              <w:rPr>
                <w:rFonts w:ascii="Arial" w:hAnsi="Arial" w:cs="Arial"/>
                <w:b/>
                <w:sz w:val="16"/>
                <w:szCs w:val="16"/>
              </w:rPr>
              <w:t xml:space="preserve"> billion</w:t>
            </w:r>
          </w:p>
        </w:tc>
        <w:tc>
          <w:tcPr>
            <w:tcW w:w="582" w:type="dxa"/>
            <w:shd w:val="clear" w:color="auto" w:fill="auto"/>
          </w:tcPr>
          <w:p w14:paraId="2BBF00AB" w14:textId="52F2DE0B" w:rsidR="003D3D66" w:rsidRPr="002638AE" w:rsidRDefault="003D3D66" w:rsidP="003D3D66">
            <w:pPr>
              <w:rPr>
                <w:rFonts w:ascii="Arial" w:hAnsi="Arial" w:cs="Arial"/>
                <w:b/>
                <w:sz w:val="16"/>
                <w:szCs w:val="16"/>
              </w:rPr>
            </w:pPr>
          </w:p>
        </w:tc>
      </w:tr>
      <w:tr w:rsidR="003D3D66" w:rsidRPr="00CE14D6" w14:paraId="20B8F9F5" w14:textId="77777777" w:rsidTr="003C7726">
        <w:trPr>
          <w:trHeight w:val="945"/>
        </w:trPr>
        <w:tc>
          <w:tcPr>
            <w:tcW w:w="4920" w:type="dxa"/>
            <w:gridSpan w:val="3"/>
            <w:shd w:val="clear" w:color="auto" w:fill="auto"/>
            <w:vAlign w:val="bottom"/>
          </w:tcPr>
          <w:p w14:paraId="06F987FF" w14:textId="20DE3385" w:rsidR="003D3D66" w:rsidRPr="002638AE" w:rsidRDefault="003D3D66" w:rsidP="003D3D66">
            <w:pPr>
              <w:jc w:val="center"/>
              <w:rPr>
                <w:rFonts w:ascii="Arial" w:hAnsi="Arial" w:cs="Arial"/>
                <w:b/>
                <w:sz w:val="16"/>
                <w:szCs w:val="16"/>
              </w:rPr>
            </w:pPr>
            <w:r w:rsidRPr="002638AE">
              <w:rPr>
                <w:rFonts w:ascii="Arial" w:hAnsi="Arial" w:cs="Arial"/>
                <w:b/>
                <w:sz w:val="16"/>
                <w:szCs w:val="16"/>
              </w:rPr>
              <w:t xml:space="preserve">Next release: </w:t>
            </w:r>
            <w:r w:rsidR="00F30A8D">
              <w:rPr>
                <w:rFonts w:ascii="Arial" w:hAnsi="Arial" w:cs="Arial"/>
                <w:b/>
                <w:sz w:val="16"/>
                <w:szCs w:val="16"/>
              </w:rPr>
              <w:t>March 20</w:t>
            </w:r>
            <w:r w:rsidR="007120A7" w:rsidRPr="002638AE">
              <w:rPr>
                <w:rFonts w:ascii="Arial" w:hAnsi="Arial" w:cs="Arial"/>
                <w:b/>
                <w:sz w:val="16"/>
                <w:szCs w:val="16"/>
              </w:rPr>
              <w:t>, 201</w:t>
            </w:r>
            <w:r w:rsidR="00F30A8D">
              <w:rPr>
                <w:rFonts w:ascii="Arial" w:hAnsi="Arial" w:cs="Arial"/>
                <w:b/>
                <w:sz w:val="16"/>
                <w:szCs w:val="16"/>
              </w:rPr>
              <w:t>7</w:t>
            </w:r>
          </w:p>
          <w:p w14:paraId="152E327F" w14:textId="77777777" w:rsidR="00D66D9A" w:rsidRPr="00424E1C" w:rsidRDefault="00D66D9A" w:rsidP="00D66D9A">
            <w:pPr>
              <w:jc w:val="center"/>
              <w:rPr>
                <w:rFonts w:cs="Times New Roman"/>
                <w:b/>
                <w:sz w:val="14"/>
                <w:szCs w:val="14"/>
              </w:rPr>
            </w:pPr>
          </w:p>
          <w:p w14:paraId="2853E9A9" w14:textId="45BF5304" w:rsidR="00D66D9A" w:rsidRPr="002638AE" w:rsidRDefault="00CF0492" w:rsidP="00D66D9A">
            <w:pPr>
              <w:jc w:val="center"/>
              <w:rPr>
                <w:rFonts w:cs="Times New Roman"/>
                <w:sz w:val="14"/>
                <w:szCs w:val="14"/>
              </w:rPr>
            </w:pPr>
            <w:r>
              <w:rPr>
                <w:rFonts w:ascii="Arial" w:hAnsi="Arial" w:cs="Arial"/>
                <w:sz w:val="14"/>
                <w:szCs w:val="14"/>
              </w:rPr>
              <w:t>Data adjusted for s</w:t>
            </w:r>
            <w:r w:rsidR="00D66D9A" w:rsidRPr="002638AE">
              <w:rPr>
                <w:rFonts w:ascii="Arial" w:hAnsi="Arial" w:cs="Arial"/>
                <w:sz w:val="14"/>
                <w:szCs w:val="14"/>
              </w:rPr>
              <w:t>easonal</w:t>
            </w:r>
            <w:r w:rsidR="002F5227">
              <w:rPr>
                <w:rFonts w:ascii="Arial" w:hAnsi="Arial" w:cs="Arial"/>
                <w:sz w:val="14"/>
                <w:szCs w:val="14"/>
              </w:rPr>
              <w:t>ity</w:t>
            </w:r>
          </w:p>
          <w:p w14:paraId="7607B508" w14:textId="3637C2B9" w:rsidR="003D3D66" w:rsidRPr="00CE14D6" w:rsidRDefault="00D66D9A" w:rsidP="00D66D9A">
            <w:pPr>
              <w:jc w:val="center"/>
              <w:rPr>
                <w:rFonts w:cs="Times New Roman"/>
                <w:b/>
                <w:sz w:val="18"/>
                <w:szCs w:val="18"/>
              </w:rPr>
            </w:pPr>
            <w:r w:rsidRPr="002638AE">
              <w:rPr>
                <w:rFonts w:ascii="Arial" w:hAnsi="Arial" w:cs="Arial"/>
                <w:sz w:val="14"/>
                <w:szCs w:val="14"/>
              </w:rPr>
              <w:t>Source: U.S. Census Bureau, Quarterly Financial Report</w:t>
            </w:r>
            <w:r w:rsidRPr="002638AE">
              <w:rPr>
                <w:rFonts w:ascii="Arial" w:hAnsi="Arial" w:cs="Arial"/>
                <w:sz w:val="14"/>
                <w:szCs w:val="14"/>
              </w:rPr>
              <w:br/>
            </w:r>
          </w:p>
        </w:tc>
      </w:tr>
    </w:tbl>
    <w:p w14:paraId="35509BFC" w14:textId="729FCD5D" w:rsidR="00F65176" w:rsidRDefault="003D3D66" w:rsidP="00CF0492">
      <w:pPr>
        <w:tabs>
          <w:tab w:val="left" w:pos="-360"/>
        </w:tabs>
        <w:spacing w:after="0"/>
        <w:ind w:left="-360"/>
        <w:rPr>
          <w:rFonts w:ascii="Times New Roman" w:hAnsi="Times New Roman" w:cs="Times New Roman"/>
          <w:b/>
          <w:noProof/>
          <w:sz w:val="24"/>
          <w:szCs w:val="24"/>
        </w:rPr>
      </w:pPr>
      <w:r>
        <w:rPr>
          <w:rFonts w:ascii="Times New Roman" w:hAnsi="Times New Roman" w:cs="Times New Roman"/>
          <w:noProof/>
          <w:sz w:val="24"/>
          <w:szCs w:val="24"/>
        </w:rPr>
        <w:br/>
      </w:r>
      <w:r w:rsidR="007D7968" w:rsidRPr="007D7968">
        <w:rPr>
          <w:rFonts w:ascii="Times New Roman" w:hAnsi="Times New Roman" w:cs="Times New Roman"/>
          <w:b/>
          <w:noProof/>
          <w:sz w:val="24"/>
          <w:szCs w:val="24"/>
        </w:rPr>
        <w:t xml:space="preserve">After-Tax Profits and Sales, </w:t>
      </w:r>
      <w:r w:rsidR="00E30DE6">
        <w:rPr>
          <w:rFonts w:ascii="Times New Roman" w:hAnsi="Times New Roman" w:cs="Times New Roman"/>
          <w:b/>
          <w:noProof/>
          <w:sz w:val="24"/>
          <w:szCs w:val="24"/>
        </w:rPr>
        <w:t>Thir</w:t>
      </w:r>
      <w:r w:rsidR="00965442">
        <w:rPr>
          <w:rFonts w:ascii="Times New Roman" w:hAnsi="Times New Roman" w:cs="Times New Roman"/>
          <w:b/>
          <w:noProof/>
          <w:sz w:val="24"/>
          <w:szCs w:val="24"/>
        </w:rPr>
        <w:t>d</w:t>
      </w:r>
      <w:r w:rsidR="007D7968" w:rsidRPr="007D7968">
        <w:rPr>
          <w:rFonts w:ascii="Times New Roman" w:hAnsi="Times New Roman" w:cs="Times New Roman"/>
          <w:b/>
          <w:noProof/>
          <w:sz w:val="24"/>
          <w:szCs w:val="24"/>
        </w:rPr>
        <w:t xml:space="preserve"> Quarter 2016 - Seasonally Adjusted</w:t>
      </w:r>
    </w:p>
    <w:p w14:paraId="5A9E51F3" w14:textId="512CC75E" w:rsidR="00F02447" w:rsidRDefault="00965442" w:rsidP="00D66D9A">
      <w:pPr>
        <w:tabs>
          <w:tab w:val="left" w:pos="-360"/>
        </w:tabs>
        <w:spacing w:after="120"/>
        <w:ind w:left="-360"/>
        <w:rPr>
          <w:rFonts w:ascii="Times New Roman" w:hAnsi="Times New Roman" w:cs="Times New Roman"/>
          <w:noProof/>
          <w:sz w:val="24"/>
          <w:szCs w:val="24"/>
        </w:rPr>
      </w:pPr>
      <w:r w:rsidRPr="00965442">
        <w:rPr>
          <w:rFonts w:ascii="Times New Roman" w:hAnsi="Times New Roman" w:cs="Times New Roman"/>
          <w:noProof/>
          <w:sz w:val="24"/>
          <w:szCs w:val="24"/>
        </w:rPr>
        <w:t>Seasonally adjusted after-tax profits of</w:t>
      </w:r>
      <w:r>
        <w:rPr>
          <w:rFonts w:ascii="Times New Roman" w:hAnsi="Times New Roman" w:cs="Times New Roman"/>
          <w:noProof/>
          <w:sz w:val="24"/>
          <w:szCs w:val="24"/>
        </w:rPr>
        <w:t xml:space="preserve"> </w:t>
      </w:r>
      <w:r w:rsidRPr="00965442">
        <w:rPr>
          <w:rFonts w:ascii="Times New Roman" w:hAnsi="Times New Roman" w:cs="Times New Roman"/>
          <w:noProof/>
          <w:sz w:val="24"/>
          <w:szCs w:val="24"/>
        </w:rPr>
        <w:t>U.S. retail corporations with assets of $5</w:t>
      </w:r>
      <w:r w:rsidR="00E30DE6">
        <w:rPr>
          <w:rFonts w:ascii="Times New Roman" w:hAnsi="Times New Roman" w:cs="Times New Roman"/>
          <w:noProof/>
          <w:sz w:val="24"/>
          <w:szCs w:val="24"/>
        </w:rPr>
        <w:t>0 million and over totaled $23.9</w:t>
      </w:r>
      <w:r w:rsidRPr="00965442">
        <w:rPr>
          <w:rFonts w:ascii="Times New Roman" w:hAnsi="Times New Roman" w:cs="Times New Roman"/>
          <w:noProof/>
          <w:sz w:val="24"/>
          <w:szCs w:val="24"/>
        </w:rPr>
        <w:t xml:space="preserve"> billion, up $</w:t>
      </w:r>
      <w:r w:rsidR="00E30DE6">
        <w:rPr>
          <w:rFonts w:ascii="Times New Roman" w:hAnsi="Times New Roman" w:cs="Times New Roman"/>
          <w:noProof/>
          <w:sz w:val="24"/>
          <w:szCs w:val="24"/>
        </w:rPr>
        <w:t>0.6</w:t>
      </w:r>
      <w:r w:rsidRPr="00965442">
        <w:rPr>
          <w:rFonts w:ascii="Times New Roman" w:hAnsi="Times New Roman" w:cs="Times New Roman"/>
          <w:noProof/>
          <w:sz w:val="24"/>
          <w:szCs w:val="24"/>
        </w:rPr>
        <w:t xml:space="preserve"> (±0.1) billion from the $2</w:t>
      </w:r>
      <w:r w:rsidR="00E30DE6">
        <w:rPr>
          <w:rFonts w:ascii="Times New Roman" w:hAnsi="Times New Roman" w:cs="Times New Roman"/>
          <w:noProof/>
          <w:sz w:val="24"/>
          <w:szCs w:val="24"/>
        </w:rPr>
        <w:t>3.3 billion in the second</w:t>
      </w:r>
      <w:r w:rsidRPr="00965442">
        <w:rPr>
          <w:rFonts w:ascii="Times New Roman" w:hAnsi="Times New Roman" w:cs="Times New Roman"/>
          <w:noProof/>
          <w:sz w:val="24"/>
          <w:szCs w:val="24"/>
        </w:rPr>
        <w:t xml:space="preserve"> quarter of 2016, and up $</w:t>
      </w:r>
      <w:r w:rsidR="00E30DE6">
        <w:rPr>
          <w:rFonts w:ascii="Times New Roman" w:hAnsi="Times New Roman" w:cs="Times New Roman"/>
          <w:noProof/>
          <w:sz w:val="24"/>
          <w:szCs w:val="24"/>
        </w:rPr>
        <w:t>3.7</w:t>
      </w:r>
      <w:r w:rsidRPr="00965442">
        <w:rPr>
          <w:rFonts w:ascii="Times New Roman" w:hAnsi="Times New Roman" w:cs="Times New Roman"/>
          <w:noProof/>
          <w:sz w:val="24"/>
          <w:szCs w:val="24"/>
        </w:rPr>
        <w:t xml:space="preserve"> (±0.</w:t>
      </w:r>
      <w:r w:rsidR="00E30DE6">
        <w:rPr>
          <w:rFonts w:ascii="Times New Roman" w:hAnsi="Times New Roman" w:cs="Times New Roman"/>
          <w:noProof/>
          <w:sz w:val="24"/>
          <w:szCs w:val="24"/>
        </w:rPr>
        <w:t>2</w:t>
      </w:r>
      <w:r w:rsidRPr="00965442">
        <w:rPr>
          <w:rFonts w:ascii="Times New Roman" w:hAnsi="Times New Roman" w:cs="Times New Roman"/>
          <w:noProof/>
          <w:sz w:val="24"/>
          <w:szCs w:val="24"/>
        </w:rPr>
        <w:t>) billion from the $2</w:t>
      </w:r>
      <w:r w:rsidR="00E30DE6">
        <w:rPr>
          <w:rFonts w:ascii="Times New Roman" w:hAnsi="Times New Roman" w:cs="Times New Roman"/>
          <w:noProof/>
          <w:sz w:val="24"/>
          <w:szCs w:val="24"/>
        </w:rPr>
        <w:t>0.</w:t>
      </w:r>
      <w:r w:rsidRPr="00965442">
        <w:rPr>
          <w:rFonts w:ascii="Times New Roman" w:hAnsi="Times New Roman" w:cs="Times New Roman"/>
          <w:noProof/>
          <w:sz w:val="24"/>
          <w:szCs w:val="24"/>
        </w:rPr>
        <w:t>1</w:t>
      </w:r>
      <w:r w:rsidR="00E30DE6">
        <w:rPr>
          <w:rFonts w:ascii="Times New Roman" w:hAnsi="Times New Roman" w:cs="Times New Roman"/>
          <w:noProof/>
          <w:sz w:val="24"/>
          <w:szCs w:val="24"/>
        </w:rPr>
        <w:t xml:space="preserve"> billion recorded in the thir</w:t>
      </w:r>
      <w:r w:rsidRPr="00965442">
        <w:rPr>
          <w:rFonts w:ascii="Times New Roman" w:hAnsi="Times New Roman" w:cs="Times New Roman"/>
          <w:noProof/>
          <w:sz w:val="24"/>
          <w:szCs w:val="24"/>
        </w:rPr>
        <w:t>d quarter of 2015</w:t>
      </w:r>
      <w:r w:rsidR="00F02447" w:rsidRPr="00F02447">
        <w:rPr>
          <w:rFonts w:ascii="Times New Roman" w:hAnsi="Times New Roman" w:cs="Times New Roman"/>
          <w:noProof/>
          <w:sz w:val="24"/>
          <w:szCs w:val="24"/>
        </w:rPr>
        <w:t>.</w:t>
      </w:r>
    </w:p>
    <w:p w14:paraId="2FCC35FB" w14:textId="77B134B1" w:rsidR="00F02447" w:rsidRPr="00F02447" w:rsidRDefault="00965442" w:rsidP="00D66D9A">
      <w:pPr>
        <w:tabs>
          <w:tab w:val="left" w:pos="-360"/>
        </w:tabs>
        <w:spacing w:after="120"/>
        <w:ind w:left="-360"/>
        <w:rPr>
          <w:rFonts w:ascii="Times New Roman" w:hAnsi="Times New Roman" w:cs="Times New Roman"/>
          <w:noProof/>
          <w:sz w:val="24"/>
          <w:szCs w:val="24"/>
        </w:rPr>
      </w:pPr>
      <w:r w:rsidRPr="00965442">
        <w:rPr>
          <w:rFonts w:ascii="Times New Roman" w:hAnsi="Times New Roman" w:cs="Times New Roman"/>
          <w:noProof/>
          <w:sz w:val="24"/>
          <w:szCs w:val="24"/>
        </w:rPr>
        <w:t>Seasonally adjusted sales for the quarter totaled $</w:t>
      </w:r>
      <w:r w:rsidR="00E30DE6">
        <w:rPr>
          <w:rFonts w:ascii="Times New Roman" w:hAnsi="Times New Roman" w:cs="Times New Roman"/>
          <w:noProof/>
          <w:sz w:val="24"/>
          <w:szCs w:val="24"/>
        </w:rPr>
        <w:t>708.1</w:t>
      </w:r>
      <w:r w:rsidRPr="00965442">
        <w:rPr>
          <w:rFonts w:ascii="Times New Roman" w:hAnsi="Times New Roman" w:cs="Times New Roman"/>
          <w:noProof/>
          <w:sz w:val="24"/>
          <w:szCs w:val="24"/>
        </w:rPr>
        <w:t xml:space="preserve"> billion, up $</w:t>
      </w:r>
      <w:r w:rsidR="00E30DE6">
        <w:rPr>
          <w:rFonts w:ascii="Times New Roman" w:hAnsi="Times New Roman" w:cs="Times New Roman"/>
          <w:noProof/>
          <w:sz w:val="24"/>
          <w:szCs w:val="24"/>
        </w:rPr>
        <w:t>9.8</w:t>
      </w:r>
      <w:r w:rsidRPr="00965442">
        <w:rPr>
          <w:rFonts w:ascii="Times New Roman" w:hAnsi="Times New Roman" w:cs="Times New Roman"/>
          <w:noProof/>
          <w:sz w:val="24"/>
          <w:szCs w:val="24"/>
        </w:rPr>
        <w:t xml:space="preserve"> (±2</w:t>
      </w:r>
      <w:r w:rsidR="00E30DE6">
        <w:rPr>
          <w:rFonts w:ascii="Times New Roman" w:hAnsi="Times New Roman" w:cs="Times New Roman"/>
          <w:noProof/>
          <w:sz w:val="24"/>
          <w:szCs w:val="24"/>
        </w:rPr>
        <w:t>.5</w:t>
      </w:r>
      <w:r w:rsidRPr="00965442">
        <w:rPr>
          <w:rFonts w:ascii="Times New Roman" w:hAnsi="Times New Roman" w:cs="Times New Roman"/>
          <w:noProof/>
          <w:sz w:val="24"/>
          <w:szCs w:val="24"/>
        </w:rPr>
        <w:t>) billion from the $6</w:t>
      </w:r>
      <w:r w:rsidR="00E30DE6">
        <w:rPr>
          <w:rFonts w:ascii="Times New Roman" w:hAnsi="Times New Roman" w:cs="Times New Roman"/>
          <w:noProof/>
          <w:sz w:val="24"/>
          <w:szCs w:val="24"/>
        </w:rPr>
        <w:t>98.3 billion in the second</w:t>
      </w:r>
      <w:r w:rsidRPr="00965442">
        <w:rPr>
          <w:rFonts w:ascii="Times New Roman" w:hAnsi="Times New Roman" w:cs="Times New Roman"/>
          <w:noProof/>
          <w:sz w:val="24"/>
          <w:szCs w:val="24"/>
        </w:rPr>
        <w:t xml:space="preserve"> quarter of 2016, and up $</w:t>
      </w:r>
      <w:r w:rsidR="00E30DE6">
        <w:rPr>
          <w:rFonts w:ascii="Times New Roman" w:hAnsi="Times New Roman" w:cs="Times New Roman"/>
          <w:noProof/>
          <w:sz w:val="24"/>
          <w:szCs w:val="24"/>
        </w:rPr>
        <w:t>27.3</w:t>
      </w:r>
      <w:r w:rsidRPr="00965442">
        <w:rPr>
          <w:rFonts w:ascii="Times New Roman" w:hAnsi="Times New Roman" w:cs="Times New Roman"/>
          <w:noProof/>
          <w:sz w:val="24"/>
          <w:szCs w:val="24"/>
        </w:rPr>
        <w:t xml:space="preserve"> (±</w:t>
      </w:r>
      <w:r w:rsidR="00E30DE6">
        <w:rPr>
          <w:rFonts w:ascii="Times New Roman" w:hAnsi="Times New Roman" w:cs="Times New Roman"/>
          <w:noProof/>
          <w:sz w:val="24"/>
          <w:szCs w:val="24"/>
        </w:rPr>
        <w:t>6.0</w:t>
      </w:r>
      <w:r w:rsidRPr="00965442">
        <w:rPr>
          <w:rFonts w:ascii="Times New Roman" w:hAnsi="Times New Roman" w:cs="Times New Roman"/>
          <w:noProof/>
          <w:sz w:val="24"/>
          <w:szCs w:val="24"/>
        </w:rPr>
        <w:t>) billion from the $6</w:t>
      </w:r>
      <w:r w:rsidR="00E30DE6">
        <w:rPr>
          <w:rFonts w:ascii="Times New Roman" w:hAnsi="Times New Roman" w:cs="Times New Roman"/>
          <w:noProof/>
          <w:sz w:val="24"/>
          <w:szCs w:val="24"/>
        </w:rPr>
        <w:t>80.8</w:t>
      </w:r>
      <w:r w:rsidRPr="00965442">
        <w:rPr>
          <w:rFonts w:ascii="Times New Roman" w:hAnsi="Times New Roman" w:cs="Times New Roman"/>
          <w:noProof/>
          <w:sz w:val="24"/>
          <w:szCs w:val="24"/>
        </w:rPr>
        <w:t xml:space="preserve"> billion recorded in the </w:t>
      </w:r>
      <w:r w:rsidR="00E30DE6">
        <w:rPr>
          <w:rFonts w:ascii="Times New Roman" w:hAnsi="Times New Roman" w:cs="Times New Roman"/>
          <w:noProof/>
          <w:sz w:val="24"/>
          <w:szCs w:val="24"/>
        </w:rPr>
        <w:t>thir</w:t>
      </w:r>
      <w:r w:rsidRPr="00965442">
        <w:rPr>
          <w:rFonts w:ascii="Times New Roman" w:hAnsi="Times New Roman" w:cs="Times New Roman"/>
          <w:noProof/>
          <w:sz w:val="24"/>
          <w:szCs w:val="24"/>
        </w:rPr>
        <w:t>d quarter of 2015.</w:t>
      </w:r>
      <w:r w:rsidR="00F337CD" w:rsidRPr="00F337CD">
        <w:rPr>
          <w:rFonts w:cs="Times New Roman"/>
          <w:b/>
          <w:noProof/>
        </w:rPr>
        <w:t xml:space="preserve"> </w:t>
      </w:r>
    </w:p>
    <w:p w14:paraId="6934608C" w14:textId="7A86B1A9" w:rsidR="006E73C6" w:rsidRPr="00F02447" w:rsidRDefault="00F02447" w:rsidP="00612AB6">
      <w:pPr>
        <w:spacing w:after="0"/>
        <w:ind w:left="-360"/>
        <w:rPr>
          <w:rFonts w:ascii="Times New Roman" w:hAnsi="Times New Roman" w:cs="Times New Roman"/>
          <w:b/>
          <w:noProof/>
          <w:sz w:val="24"/>
          <w:szCs w:val="24"/>
        </w:rPr>
      </w:pPr>
      <w:r w:rsidRPr="00F02447">
        <w:rPr>
          <w:rFonts w:ascii="Times New Roman" w:hAnsi="Times New Roman" w:cs="Times New Roman"/>
          <w:b/>
          <w:noProof/>
          <w:sz w:val="24"/>
          <w:szCs w:val="24"/>
        </w:rPr>
        <w:t xml:space="preserve">After-Tax Profits and Sales, </w:t>
      </w:r>
      <w:r w:rsidR="00E30DE6">
        <w:rPr>
          <w:rFonts w:ascii="Times New Roman" w:hAnsi="Times New Roman" w:cs="Times New Roman"/>
          <w:b/>
          <w:noProof/>
          <w:sz w:val="24"/>
          <w:szCs w:val="24"/>
        </w:rPr>
        <w:t>Thir</w:t>
      </w:r>
      <w:r w:rsidR="00965442">
        <w:rPr>
          <w:rFonts w:ascii="Times New Roman" w:hAnsi="Times New Roman" w:cs="Times New Roman"/>
          <w:b/>
          <w:noProof/>
          <w:sz w:val="24"/>
          <w:szCs w:val="24"/>
        </w:rPr>
        <w:t>d</w:t>
      </w:r>
      <w:r w:rsidRPr="00F02447">
        <w:rPr>
          <w:rFonts w:ascii="Times New Roman" w:hAnsi="Times New Roman" w:cs="Times New Roman"/>
          <w:b/>
          <w:noProof/>
          <w:sz w:val="24"/>
          <w:szCs w:val="24"/>
        </w:rPr>
        <w:t xml:space="preserve"> Quarter 2016 – Not Seasonally Adjusted</w:t>
      </w:r>
    </w:p>
    <w:p w14:paraId="437F9B81" w14:textId="7ADBB08C" w:rsidR="00F039D5" w:rsidRPr="00F039D5" w:rsidRDefault="00E30DE6" w:rsidP="00D66D9A">
      <w:pPr>
        <w:spacing w:after="120"/>
        <w:ind w:left="-360"/>
        <w:rPr>
          <w:rFonts w:ascii="Times New Roman" w:hAnsi="Times New Roman" w:cs="Times New Roman"/>
          <w:noProof/>
          <w:sz w:val="24"/>
          <w:szCs w:val="24"/>
        </w:rPr>
      </w:pPr>
      <w:r>
        <w:rPr>
          <w:rFonts w:ascii="Times New Roman" w:hAnsi="Times New Roman" w:cs="Times New Roman"/>
          <w:noProof/>
          <w:sz w:val="24"/>
          <w:szCs w:val="24"/>
        </w:rPr>
        <w:t>Thir</w:t>
      </w:r>
      <w:r w:rsidR="00965442" w:rsidRPr="00965442">
        <w:rPr>
          <w:rFonts w:ascii="Times New Roman" w:hAnsi="Times New Roman" w:cs="Times New Roman"/>
          <w:noProof/>
          <w:sz w:val="24"/>
          <w:szCs w:val="24"/>
        </w:rPr>
        <w:t>d quarter 2016 after-tax profits of U.S. retail corporations with assets of $5</w:t>
      </w:r>
      <w:r>
        <w:rPr>
          <w:rFonts w:ascii="Times New Roman" w:hAnsi="Times New Roman" w:cs="Times New Roman"/>
          <w:noProof/>
          <w:sz w:val="24"/>
          <w:szCs w:val="24"/>
        </w:rPr>
        <w:t>0 million and over totaled $22.1</w:t>
      </w:r>
      <w:r w:rsidR="00965442" w:rsidRPr="00965442">
        <w:rPr>
          <w:rFonts w:ascii="Times New Roman" w:hAnsi="Times New Roman" w:cs="Times New Roman"/>
          <w:noProof/>
          <w:sz w:val="24"/>
          <w:szCs w:val="24"/>
        </w:rPr>
        <w:t xml:space="preserve"> billion, up $3</w:t>
      </w:r>
      <w:r>
        <w:rPr>
          <w:rFonts w:ascii="Times New Roman" w:hAnsi="Times New Roman" w:cs="Times New Roman"/>
          <w:noProof/>
          <w:sz w:val="24"/>
          <w:szCs w:val="24"/>
        </w:rPr>
        <w:t>.7</w:t>
      </w:r>
      <w:r w:rsidR="00965442" w:rsidRPr="00965442">
        <w:rPr>
          <w:rFonts w:ascii="Times New Roman" w:hAnsi="Times New Roman" w:cs="Times New Roman"/>
          <w:noProof/>
          <w:sz w:val="24"/>
          <w:szCs w:val="24"/>
        </w:rPr>
        <w:t xml:space="preserve"> (±0.</w:t>
      </w:r>
      <w:r>
        <w:rPr>
          <w:rFonts w:ascii="Times New Roman" w:hAnsi="Times New Roman" w:cs="Times New Roman"/>
          <w:noProof/>
          <w:sz w:val="24"/>
          <w:szCs w:val="24"/>
        </w:rPr>
        <w:t>2</w:t>
      </w:r>
      <w:r w:rsidR="00965442" w:rsidRPr="00965442">
        <w:rPr>
          <w:rFonts w:ascii="Times New Roman" w:hAnsi="Times New Roman" w:cs="Times New Roman"/>
          <w:noProof/>
          <w:sz w:val="24"/>
          <w:szCs w:val="24"/>
        </w:rPr>
        <w:t>) billion from the after-tax profits of $1</w:t>
      </w:r>
      <w:r>
        <w:rPr>
          <w:rFonts w:ascii="Times New Roman" w:hAnsi="Times New Roman" w:cs="Times New Roman"/>
          <w:noProof/>
          <w:sz w:val="24"/>
          <w:szCs w:val="24"/>
        </w:rPr>
        <w:t xml:space="preserve">8.3 </w:t>
      </w:r>
      <w:r w:rsidR="00965442" w:rsidRPr="00965442">
        <w:rPr>
          <w:rFonts w:ascii="Times New Roman" w:hAnsi="Times New Roman" w:cs="Times New Roman"/>
          <w:noProof/>
          <w:sz w:val="24"/>
          <w:szCs w:val="24"/>
        </w:rPr>
        <w:t xml:space="preserve">billion recorded in the </w:t>
      </w:r>
      <w:r>
        <w:rPr>
          <w:rFonts w:ascii="Times New Roman" w:hAnsi="Times New Roman" w:cs="Times New Roman"/>
          <w:noProof/>
          <w:sz w:val="24"/>
          <w:szCs w:val="24"/>
        </w:rPr>
        <w:t>thir</w:t>
      </w:r>
      <w:r w:rsidR="00965442" w:rsidRPr="00965442">
        <w:rPr>
          <w:rFonts w:ascii="Times New Roman" w:hAnsi="Times New Roman" w:cs="Times New Roman"/>
          <w:noProof/>
          <w:sz w:val="24"/>
          <w:szCs w:val="24"/>
        </w:rPr>
        <w:t xml:space="preserve">d quarter of 2015, </w:t>
      </w:r>
      <w:r>
        <w:rPr>
          <w:rFonts w:ascii="Times New Roman" w:hAnsi="Times New Roman" w:cs="Times New Roman"/>
          <w:noProof/>
          <w:sz w:val="24"/>
          <w:szCs w:val="24"/>
        </w:rPr>
        <w:t>but down</w:t>
      </w:r>
      <w:r w:rsidR="00965442" w:rsidRPr="00965442">
        <w:rPr>
          <w:rFonts w:ascii="Times New Roman" w:hAnsi="Times New Roman" w:cs="Times New Roman"/>
          <w:noProof/>
          <w:sz w:val="24"/>
          <w:szCs w:val="24"/>
        </w:rPr>
        <w:t xml:space="preserve"> $</w:t>
      </w:r>
      <w:r>
        <w:rPr>
          <w:rFonts w:ascii="Times New Roman" w:hAnsi="Times New Roman" w:cs="Times New Roman"/>
          <w:noProof/>
          <w:sz w:val="24"/>
          <w:szCs w:val="24"/>
        </w:rPr>
        <w:t>0</w:t>
      </w:r>
      <w:r w:rsidR="00965442" w:rsidRPr="00965442">
        <w:rPr>
          <w:rFonts w:ascii="Times New Roman" w:hAnsi="Times New Roman" w:cs="Times New Roman"/>
          <w:noProof/>
          <w:sz w:val="24"/>
          <w:szCs w:val="24"/>
        </w:rPr>
        <w:t>.3 (±0.1) billion from the after-tax profits of $</w:t>
      </w:r>
      <w:r>
        <w:rPr>
          <w:rFonts w:ascii="Times New Roman" w:hAnsi="Times New Roman" w:cs="Times New Roman"/>
          <w:noProof/>
          <w:sz w:val="24"/>
          <w:szCs w:val="24"/>
        </w:rPr>
        <w:t>22.4</w:t>
      </w:r>
      <w:r w:rsidR="00965442" w:rsidRPr="00965442">
        <w:rPr>
          <w:rFonts w:ascii="Times New Roman" w:hAnsi="Times New Roman" w:cs="Times New Roman"/>
          <w:noProof/>
          <w:sz w:val="24"/>
          <w:szCs w:val="24"/>
        </w:rPr>
        <w:t xml:space="preserve"> billion recorded in the </w:t>
      </w:r>
      <w:r>
        <w:rPr>
          <w:rFonts w:ascii="Times New Roman" w:hAnsi="Times New Roman" w:cs="Times New Roman"/>
          <w:noProof/>
          <w:sz w:val="24"/>
          <w:szCs w:val="24"/>
        </w:rPr>
        <w:t>second</w:t>
      </w:r>
      <w:r w:rsidR="00965442" w:rsidRPr="00965442">
        <w:rPr>
          <w:rFonts w:ascii="Times New Roman" w:hAnsi="Times New Roman" w:cs="Times New Roman"/>
          <w:noProof/>
          <w:sz w:val="24"/>
          <w:szCs w:val="24"/>
        </w:rPr>
        <w:t xml:space="preserve"> quarter of 2016.</w:t>
      </w:r>
      <w:r w:rsidR="00F039D5" w:rsidRPr="00F039D5">
        <w:rPr>
          <w:rFonts w:ascii="Times New Roman" w:hAnsi="Times New Roman" w:cs="Times New Roman"/>
          <w:noProof/>
          <w:sz w:val="24"/>
          <w:szCs w:val="24"/>
        </w:rPr>
        <w:tab/>
      </w:r>
      <w:r w:rsidR="00F039D5" w:rsidRPr="00F039D5">
        <w:rPr>
          <w:rFonts w:ascii="Times New Roman" w:hAnsi="Times New Roman" w:cs="Times New Roman"/>
          <w:noProof/>
          <w:sz w:val="24"/>
          <w:szCs w:val="24"/>
        </w:rPr>
        <w:tab/>
      </w:r>
      <w:r w:rsidR="00F039D5" w:rsidRPr="00F039D5">
        <w:rPr>
          <w:rFonts w:ascii="Times New Roman" w:hAnsi="Times New Roman" w:cs="Times New Roman"/>
          <w:noProof/>
          <w:sz w:val="24"/>
          <w:szCs w:val="24"/>
        </w:rPr>
        <w:tab/>
      </w:r>
    </w:p>
    <w:p w14:paraId="75286698" w14:textId="19021F6B" w:rsidR="00F77475" w:rsidRDefault="00E30DE6" w:rsidP="00D66D9A">
      <w:pPr>
        <w:spacing w:after="120"/>
        <w:ind w:left="-360"/>
        <w:rPr>
          <w:rFonts w:ascii="Times New Roman" w:hAnsi="Times New Roman" w:cs="Times New Roman"/>
          <w:noProof/>
          <w:sz w:val="24"/>
          <w:szCs w:val="24"/>
        </w:rPr>
      </w:pPr>
      <w:r>
        <w:rPr>
          <w:rFonts w:ascii="Times New Roman" w:hAnsi="Times New Roman" w:cs="Times New Roman"/>
          <w:noProof/>
          <w:sz w:val="24"/>
          <w:szCs w:val="24"/>
        </w:rPr>
        <w:t>Sales in the thir</w:t>
      </w:r>
      <w:r w:rsidR="00965442" w:rsidRPr="00965442">
        <w:rPr>
          <w:rFonts w:ascii="Times New Roman" w:hAnsi="Times New Roman" w:cs="Times New Roman"/>
          <w:noProof/>
          <w:sz w:val="24"/>
          <w:szCs w:val="24"/>
        </w:rPr>
        <w:t>d quarter of 2016 were $69</w:t>
      </w:r>
      <w:r>
        <w:rPr>
          <w:rFonts w:ascii="Times New Roman" w:hAnsi="Times New Roman" w:cs="Times New Roman"/>
          <w:noProof/>
          <w:sz w:val="24"/>
          <w:szCs w:val="24"/>
        </w:rPr>
        <w:t>8.5</w:t>
      </w:r>
      <w:r w:rsidR="00965442" w:rsidRPr="00965442">
        <w:rPr>
          <w:rFonts w:ascii="Times New Roman" w:hAnsi="Times New Roman" w:cs="Times New Roman"/>
          <w:noProof/>
          <w:sz w:val="24"/>
          <w:szCs w:val="24"/>
        </w:rPr>
        <w:t xml:space="preserve"> billion, up $2</w:t>
      </w:r>
      <w:r>
        <w:rPr>
          <w:rFonts w:ascii="Times New Roman" w:hAnsi="Times New Roman" w:cs="Times New Roman"/>
          <w:noProof/>
          <w:sz w:val="24"/>
          <w:szCs w:val="24"/>
        </w:rPr>
        <w:t>7.7</w:t>
      </w:r>
      <w:r w:rsidR="00965442" w:rsidRPr="00965442">
        <w:rPr>
          <w:rFonts w:ascii="Times New Roman" w:hAnsi="Times New Roman" w:cs="Times New Roman"/>
          <w:noProof/>
          <w:sz w:val="24"/>
          <w:szCs w:val="24"/>
        </w:rPr>
        <w:t xml:space="preserve"> (±</w:t>
      </w:r>
      <w:r>
        <w:rPr>
          <w:rFonts w:ascii="Times New Roman" w:hAnsi="Times New Roman" w:cs="Times New Roman"/>
          <w:noProof/>
          <w:sz w:val="24"/>
          <w:szCs w:val="24"/>
        </w:rPr>
        <w:t>6.0</w:t>
      </w:r>
      <w:r w:rsidR="00965442" w:rsidRPr="00965442">
        <w:rPr>
          <w:rFonts w:ascii="Times New Roman" w:hAnsi="Times New Roman" w:cs="Times New Roman"/>
          <w:noProof/>
          <w:sz w:val="24"/>
          <w:szCs w:val="24"/>
        </w:rPr>
        <w:t>) billion from the $6</w:t>
      </w:r>
      <w:r>
        <w:rPr>
          <w:rFonts w:ascii="Times New Roman" w:hAnsi="Times New Roman" w:cs="Times New Roman"/>
          <w:noProof/>
          <w:sz w:val="24"/>
          <w:szCs w:val="24"/>
        </w:rPr>
        <w:t>70.8</w:t>
      </w:r>
      <w:r w:rsidR="00965442" w:rsidRPr="00965442">
        <w:rPr>
          <w:rFonts w:ascii="Times New Roman" w:hAnsi="Times New Roman" w:cs="Times New Roman"/>
          <w:noProof/>
          <w:sz w:val="24"/>
          <w:szCs w:val="24"/>
        </w:rPr>
        <w:t xml:space="preserve"> billion recorded in the </w:t>
      </w:r>
      <w:r>
        <w:rPr>
          <w:rFonts w:ascii="Times New Roman" w:hAnsi="Times New Roman" w:cs="Times New Roman"/>
          <w:noProof/>
          <w:sz w:val="24"/>
          <w:szCs w:val="24"/>
        </w:rPr>
        <w:t>thir</w:t>
      </w:r>
      <w:r w:rsidR="00965442" w:rsidRPr="00965442">
        <w:rPr>
          <w:rFonts w:ascii="Times New Roman" w:hAnsi="Times New Roman" w:cs="Times New Roman"/>
          <w:noProof/>
          <w:sz w:val="24"/>
          <w:szCs w:val="24"/>
        </w:rPr>
        <w:t>d quarter of 2015,</w:t>
      </w:r>
      <w:r>
        <w:rPr>
          <w:rFonts w:ascii="Times New Roman" w:hAnsi="Times New Roman" w:cs="Times New Roman"/>
          <w:noProof/>
          <w:sz w:val="24"/>
          <w:szCs w:val="24"/>
        </w:rPr>
        <w:t xml:space="preserve"> but not statistically different from the $696.2</w:t>
      </w:r>
      <w:r w:rsidR="00965442" w:rsidRPr="00965442">
        <w:rPr>
          <w:rFonts w:ascii="Times New Roman" w:hAnsi="Times New Roman" w:cs="Times New Roman"/>
          <w:noProof/>
          <w:sz w:val="24"/>
          <w:szCs w:val="24"/>
        </w:rPr>
        <w:t xml:space="preserve"> billion recorded in </w:t>
      </w:r>
      <w:r w:rsidR="00586309">
        <w:rPr>
          <w:rFonts w:ascii="Times New Roman" w:hAnsi="Times New Roman" w:cs="Times New Roman"/>
          <w:noProof/>
          <w:sz w:val="24"/>
          <w:szCs w:val="24"/>
        </w:rPr>
        <w:t>the secon</w:t>
      </w:r>
      <w:r>
        <w:rPr>
          <w:rFonts w:ascii="Times New Roman" w:hAnsi="Times New Roman" w:cs="Times New Roman"/>
          <w:noProof/>
          <w:sz w:val="24"/>
          <w:szCs w:val="24"/>
        </w:rPr>
        <w:t>d</w:t>
      </w:r>
      <w:r w:rsidR="00965442" w:rsidRPr="00965442">
        <w:rPr>
          <w:rFonts w:ascii="Times New Roman" w:hAnsi="Times New Roman" w:cs="Times New Roman"/>
          <w:noProof/>
          <w:sz w:val="24"/>
          <w:szCs w:val="24"/>
        </w:rPr>
        <w:t xml:space="preserve"> quarter of 2016</w:t>
      </w:r>
      <w:r w:rsidR="00F02447" w:rsidRPr="00F02447">
        <w:rPr>
          <w:rFonts w:ascii="Times New Roman" w:hAnsi="Times New Roman" w:cs="Times New Roman"/>
          <w:noProof/>
          <w:sz w:val="24"/>
          <w:szCs w:val="24"/>
        </w:rPr>
        <w:t>.</w:t>
      </w:r>
      <w:r w:rsidR="00F039D5" w:rsidRPr="00F039D5">
        <w:rPr>
          <w:rFonts w:ascii="Times New Roman" w:hAnsi="Times New Roman" w:cs="Times New Roman"/>
          <w:noProof/>
          <w:sz w:val="24"/>
          <w:szCs w:val="24"/>
        </w:rPr>
        <w:tab/>
      </w:r>
      <w:r w:rsidR="00F77475" w:rsidRPr="00F77475">
        <w:rPr>
          <w:rFonts w:ascii="Times New Roman" w:hAnsi="Times New Roman" w:cs="Times New Roman"/>
          <w:noProof/>
          <w:sz w:val="24"/>
          <w:szCs w:val="24"/>
        </w:rPr>
        <w:tab/>
      </w:r>
    </w:p>
    <w:p w14:paraId="106D1A8A" w14:textId="0FFC689B" w:rsidR="00D66D9A" w:rsidRPr="00E30DE6" w:rsidRDefault="006E44F0" w:rsidP="00E30DE6">
      <w:pPr>
        <w:spacing w:after="120"/>
        <w:ind w:left="-360"/>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E30DE6">
        <w:rPr>
          <w:rFonts w:ascii="Times New Roman" w:hAnsi="Times New Roman" w:cs="Times New Roman"/>
          <w:sz w:val="24"/>
          <w:szCs w:val="24"/>
        </w:rPr>
        <w:t>Fourth</w:t>
      </w:r>
      <w:r>
        <w:rPr>
          <w:rFonts w:ascii="Times New Roman" w:hAnsi="Times New Roman" w:cs="Times New Roman"/>
          <w:sz w:val="24"/>
          <w:szCs w:val="24"/>
        </w:rPr>
        <w:t xml:space="preserve"> Quarter 2016 Quarterly Financial Report </w:t>
      </w:r>
      <w:r w:rsidRPr="00B17805">
        <w:rPr>
          <w:rFonts w:ascii="Times New Roman" w:hAnsi="Times New Roman" w:cs="Times New Roman"/>
          <w:sz w:val="24"/>
          <w:szCs w:val="24"/>
        </w:rPr>
        <w:t xml:space="preserve">for </w:t>
      </w:r>
      <w:r>
        <w:rPr>
          <w:rFonts w:ascii="Times New Roman" w:hAnsi="Times New Roman" w:cs="Times New Roman"/>
          <w:sz w:val="24"/>
          <w:szCs w:val="24"/>
        </w:rPr>
        <w:t>Retail Trade</w:t>
      </w:r>
      <w:r w:rsidRPr="00B17805">
        <w:rPr>
          <w:rFonts w:ascii="Times New Roman" w:hAnsi="Times New Roman" w:cs="Times New Roman"/>
          <w:sz w:val="24"/>
          <w:szCs w:val="24"/>
        </w:rPr>
        <w:t xml:space="preserve"> Industries</w:t>
      </w:r>
      <w:r>
        <w:rPr>
          <w:rFonts w:ascii="Times New Roman" w:hAnsi="Times New Roman" w:cs="Times New Roman"/>
          <w:sz w:val="24"/>
          <w:szCs w:val="24"/>
        </w:rPr>
        <w:t xml:space="preserve"> is scheduled for release</w:t>
      </w:r>
      <w:r w:rsidR="00E30DE6">
        <w:rPr>
          <w:rFonts w:ascii="Times New Roman" w:hAnsi="Times New Roman" w:cs="Times New Roman"/>
          <w:sz w:val="24"/>
          <w:szCs w:val="24"/>
        </w:rPr>
        <w:t xml:space="preserve"> on March 20</w:t>
      </w:r>
      <w:r>
        <w:rPr>
          <w:rFonts w:ascii="Times New Roman" w:hAnsi="Times New Roman" w:cs="Times New Roman"/>
          <w:sz w:val="24"/>
          <w:szCs w:val="24"/>
        </w:rPr>
        <w:t>, 201</w:t>
      </w:r>
      <w:r w:rsidR="00586309">
        <w:rPr>
          <w:rFonts w:ascii="Times New Roman" w:hAnsi="Times New Roman" w:cs="Times New Roman"/>
          <w:sz w:val="24"/>
          <w:szCs w:val="24"/>
        </w:rPr>
        <w:t>7</w:t>
      </w:r>
      <w:r w:rsidRPr="00BB7CC6">
        <w:rPr>
          <w:rFonts w:ascii="Times New Roman" w:hAnsi="Times New Roman" w:cs="Times New Roman"/>
          <w:sz w:val="24"/>
          <w:szCs w:val="24"/>
        </w:rPr>
        <w:t xml:space="preserve">. </w:t>
      </w:r>
      <w:r w:rsidR="00D66D9A" w:rsidRPr="00BB7CC6">
        <w:rPr>
          <w:rFonts w:ascii="Times New Roman" w:hAnsi="Times New Roman" w:cs="Times New Roman"/>
          <w:sz w:val="24"/>
          <w:szCs w:val="24"/>
        </w:rPr>
        <w:t xml:space="preserve"> View the full schedule</w:t>
      </w:r>
      <w:r w:rsidR="00E30DE6">
        <w:rPr>
          <w:rFonts w:ascii="Times New Roman" w:hAnsi="Times New Roman" w:cs="Times New Roman"/>
          <w:sz w:val="24"/>
          <w:szCs w:val="24"/>
        </w:rPr>
        <w:t xml:space="preserve"> in the Economic Briefing Room: </w:t>
      </w:r>
      <w:r w:rsidR="007B3180">
        <w:rPr>
          <w:rFonts w:ascii="Times New Roman" w:hAnsi="Times New Roman" w:cs="Times New Roman"/>
          <w:sz w:val="24"/>
          <w:szCs w:val="24"/>
        </w:rPr>
        <w:t xml:space="preserve">                 </w:t>
      </w:r>
      <w:r w:rsidR="00D66D9A" w:rsidRPr="009D70CB">
        <w:rPr>
          <w:rFonts w:ascii="Times New Roman" w:hAnsi="Times New Roman" w:cs="Times New Roman"/>
          <w:sz w:val="24"/>
          <w:szCs w:val="24"/>
        </w:rPr>
        <w:t>&lt;</w:t>
      </w:r>
      <w:hyperlink r:id="rId21" w:history="1">
        <w:r w:rsidR="00D66D9A" w:rsidRPr="00C352D6">
          <w:rPr>
            <w:rStyle w:val="Hyperlink"/>
            <w:rFonts w:ascii="Times New Roman" w:hAnsi="Times New Roman" w:cs="Times New Roman"/>
            <w:sz w:val="24"/>
            <w:szCs w:val="24"/>
          </w:rPr>
          <w:t>www.census.gov/economic-indicators/</w:t>
        </w:r>
      </w:hyperlink>
      <w:r w:rsidR="00D66D9A" w:rsidRPr="009D70CB">
        <w:rPr>
          <w:rFonts w:ascii="Times New Roman" w:hAnsi="Times New Roman" w:cs="Times New Roman"/>
          <w:sz w:val="24"/>
          <w:szCs w:val="24"/>
        </w:rPr>
        <w:t>&gt;</w:t>
      </w:r>
      <w:r w:rsidR="00D66D9A" w:rsidRPr="00C352D6">
        <w:rPr>
          <w:rFonts w:ascii="Times New Roman" w:hAnsi="Times New Roman" w:cs="Times New Roman"/>
          <w:sz w:val="24"/>
          <w:szCs w:val="24"/>
        </w:rPr>
        <w:t>.</w:t>
      </w:r>
    </w:p>
    <w:p w14:paraId="449FE0B9" w14:textId="77777777" w:rsidR="00D66D9A" w:rsidRPr="00982136" w:rsidRDefault="00D66D9A" w:rsidP="00D66D9A">
      <w:pPr>
        <w:spacing w:after="0"/>
        <w:ind w:left="-360"/>
        <w:rPr>
          <w:rFonts w:ascii="Arial" w:hAnsi="Arial" w:cs="Arial"/>
          <w:b/>
          <w:sz w:val="24"/>
          <w:szCs w:val="24"/>
        </w:rPr>
      </w:pPr>
      <w:r w:rsidRPr="00982136">
        <w:rPr>
          <w:rFonts w:ascii="Arial" w:hAnsi="Arial" w:cs="Arial"/>
          <w:b/>
          <w:sz w:val="24"/>
          <w:szCs w:val="24"/>
        </w:rPr>
        <w:t>EXPLANATORY NOTES</w:t>
      </w:r>
    </w:p>
    <w:p w14:paraId="447CF9B7" w14:textId="77777777" w:rsidR="00D66D9A" w:rsidRPr="005B61C2" w:rsidRDefault="00D66D9A" w:rsidP="00D66D9A">
      <w:pPr>
        <w:spacing w:after="0"/>
        <w:ind w:left="-360"/>
        <w:rPr>
          <w:rFonts w:ascii="Times New Roman" w:hAnsi="Times New Roman" w:cs="Times New Roman"/>
          <w:b/>
          <w:sz w:val="24"/>
          <w:szCs w:val="24"/>
        </w:rPr>
      </w:pPr>
      <w:r>
        <w:rPr>
          <w:rFonts w:ascii="Times New Roman" w:hAnsi="Times New Roman" w:cs="Times New Roman"/>
          <w:b/>
          <w:sz w:val="24"/>
          <w:szCs w:val="24"/>
        </w:rPr>
        <w:t>Access to QFR Data</w:t>
      </w:r>
    </w:p>
    <w:p w14:paraId="7484C997" w14:textId="393D1516" w:rsidR="007C6E78" w:rsidRDefault="007C6E78" w:rsidP="00D66D9A">
      <w:pPr>
        <w:spacing w:after="120"/>
        <w:ind w:left="-360"/>
        <w:rPr>
          <w:rFonts w:ascii="Times New Roman" w:hAnsi="Times New Roman" w:cs="Times New Roman"/>
          <w:sz w:val="24"/>
          <w:szCs w:val="24"/>
        </w:rPr>
      </w:pPr>
      <w:r w:rsidRPr="00511D67">
        <w:rPr>
          <w:rFonts w:ascii="Times New Roman" w:hAnsi="Times New Roman" w:cs="Times New Roman"/>
          <w:sz w:val="24"/>
          <w:szCs w:val="24"/>
        </w:rPr>
        <w:t xml:space="preserve">This press release can be viewed today in portable document format (.pdf) at the QFR internet website </w:t>
      </w:r>
      <w:r w:rsidR="00CF0492">
        <w:rPr>
          <w:rFonts w:ascii="Times New Roman" w:hAnsi="Times New Roman" w:cs="Times New Roman"/>
          <w:sz w:val="24"/>
          <w:szCs w:val="24"/>
        </w:rPr>
        <w:t>&lt;</w:t>
      </w:r>
      <w:hyperlink r:id="rId22" w:history="1">
        <w:r w:rsidRPr="00432FEC">
          <w:rPr>
            <w:rStyle w:val="Hyperlink"/>
            <w:rFonts w:ascii="Times New Roman" w:hAnsi="Times New Roman" w:cs="Times New Roman"/>
            <w:sz w:val="24"/>
            <w:szCs w:val="24"/>
          </w:rPr>
          <w:t>www.census.gov/econ/qfr</w:t>
        </w:r>
        <w:r w:rsidR="00432FEC" w:rsidRPr="00432FEC">
          <w:rPr>
            <w:rStyle w:val="Hyperlink"/>
            <w:rFonts w:ascii="Times New Roman" w:hAnsi="Times New Roman" w:cs="Times New Roman"/>
            <w:sz w:val="24"/>
            <w:szCs w:val="24"/>
          </w:rPr>
          <w:t>/</w:t>
        </w:r>
      </w:hyperlink>
      <w:r w:rsidR="00432FEC">
        <w:rPr>
          <w:rFonts w:ascii="Times New Roman" w:hAnsi="Times New Roman" w:cs="Times New Roman"/>
          <w:sz w:val="24"/>
          <w:szCs w:val="24"/>
        </w:rPr>
        <w:t>&gt;</w:t>
      </w:r>
      <w:r w:rsidR="007B3180">
        <w:rPr>
          <w:rFonts w:ascii="Times New Roman" w:hAnsi="Times New Roman" w:cs="Times New Roman"/>
          <w:sz w:val="24"/>
          <w:szCs w:val="24"/>
        </w:rPr>
        <w:t xml:space="preserve">.  </w:t>
      </w:r>
      <w:r w:rsidRPr="00511D67">
        <w:rPr>
          <w:rFonts w:ascii="Times New Roman" w:hAnsi="Times New Roman" w:cs="Times New Roman"/>
          <w:sz w:val="24"/>
          <w:szCs w:val="24"/>
        </w:rPr>
        <w:t xml:space="preserve">Summary statements of income and retained earnings, balance sheets, and related financial and operating ratios for retail trade corporations, as well as information on adjustments for seasonal variation, are available at the QFR internet website.  Time series/trend chart data are available at </w:t>
      </w:r>
      <w:r w:rsidR="00432FEC">
        <w:rPr>
          <w:rFonts w:ascii="Times New Roman" w:hAnsi="Times New Roman" w:cs="Times New Roman"/>
          <w:sz w:val="24"/>
          <w:szCs w:val="24"/>
        </w:rPr>
        <w:t>&lt;</w:t>
      </w:r>
      <w:hyperlink r:id="rId23" w:history="1">
        <w:r w:rsidR="00432FEC" w:rsidRPr="00432FEC">
          <w:rPr>
            <w:rStyle w:val="Hyperlink"/>
            <w:rFonts w:ascii="Times New Roman" w:hAnsi="Times New Roman" w:cs="Times New Roman"/>
            <w:sz w:val="24"/>
            <w:szCs w:val="24"/>
          </w:rPr>
          <w:t>www.census.gov/econ/qfr/</w:t>
        </w:r>
      </w:hyperlink>
      <w:r w:rsidR="00432FEC">
        <w:rPr>
          <w:rFonts w:ascii="Times New Roman" w:hAnsi="Times New Roman" w:cs="Times New Roman"/>
          <w:sz w:val="24"/>
          <w:szCs w:val="24"/>
        </w:rPr>
        <w:t>&gt;</w:t>
      </w:r>
      <w:r w:rsidRPr="00511D67">
        <w:rPr>
          <w:rFonts w:ascii="Times New Roman" w:hAnsi="Times New Roman" w:cs="Times New Roman"/>
          <w:sz w:val="24"/>
          <w:szCs w:val="24"/>
        </w:rPr>
        <w:t>, select the Time Series/Trend Charts link under Latest QFR Press Releases.</w:t>
      </w:r>
    </w:p>
    <w:p w14:paraId="3DA71286" w14:textId="77777777" w:rsidR="007C6E78" w:rsidRDefault="007C6E78" w:rsidP="007C6E78">
      <w:pPr>
        <w:spacing w:after="0"/>
        <w:ind w:left="-360"/>
        <w:rPr>
          <w:rFonts w:ascii="Times New Roman" w:hAnsi="Times New Roman" w:cs="Times New Roman"/>
          <w:b/>
          <w:sz w:val="24"/>
          <w:szCs w:val="24"/>
        </w:rPr>
      </w:pPr>
      <w:r>
        <w:rPr>
          <w:rFonts w:ascii="Times New Roman" w:hAnsi="Times New Roman" w:cs="Times New Roman"/>
          <w:b/>
          <w:sz w:val="24"/>
          <w:szCs w:val="24"/>
        </w:rPr>
        <w:t>Reliability of the Estimates</w:t>
      </w:r>
    </w:p>
    <w:p w14:paraId="4D7E6ACE" w14:textId="195E5747" w:rsidR="007C6E78" w:rsidRDefault="007C6E78" w:rsidP="00D66D9A">
      <w:pPr>
        <w:spacing w:after="120"/>
        <w:ind w:left="-360"/>
        <w:rPr>
          <w:rFonts w:ascii="Times New Roman" w:hAnsi="Times New Roman" w:cs="Times New Roman"/>
          <w:sz w:val="24"/>
          <w:szCs w:val="24"/>
        </w:rPr>
      </w:pPr>
      <w:r w:rsidRPr="00511D67">
        <w:rPr>
          <w:rFonts w:ascii="Times New Roman" w:hAnsi="Times New Roman" w:cs="Times New Roman"/>
          <w:sz w:val="24"/>
          <w:szCs w:val="24"/>
        </w:rPr>
        <w:t xml:space="preserve">Estimates of change presented in this press release are calculated using unrounded data. </w:t>
      </w:r>
      <w:r w:rsidR="007B3180">
        <w:rPr>
          <w:rFonts w:ascii="Times New Roman" w:hAnsi="Times New Roman" w:cs="Times New Roman"/>
          <w:sz w:val="24"/>
          <w:szCs w:val="24"/>
        </w:rPr>
        <w:t xml:space="preserve"> </w:t>
      </w:r>
      <w:r w:rsidRPr="00511D67">
        <w:rPr>
          <w:rFonts w:ascii="Times New Roman" w:hAnsi="Times New Roman" w:cs="Times New Roman"/>
          <w:sz w:val="24"/>
          <w:szCs w:val="24"/>
        </w:rPr>
        <w:t>The calculated difference is then rounded to the nearest unit of measure.  Due to this rounding, differences may not add to the totals.  The same applies to the calculated confidence intervals.  Thus, a difference of $0.0 billion indicates the difference is less than $0.05 billion.  A confidence interval of ±0.0 billion indicates a confidence interval with width of less then ±0.05 billion on each side of the estimated value.</w:t>
      </w:r>
    </w:p>
    <w:p w14:paraId="3D00AC4F" w14:textId="77777777" w:rsidR="007C6E78" w:rsidRDefault="007C6E78" w:rsidP="005D144A">
      <w:pPr>
        <w:spacing w:after="120"/>
        <w:ind w:left="-360"/>
        <w:rPr>
          <w:rFonts w:ascii="Times New Roman" w:hAnsi="Times New Roman" w:cs="Times New Roman"/>
          <w:sz w:val="24"/>
          <w:szCs w:val="24"/>
        </w:rPr>
      </w:pPr>
      <w:r w:rsidRPr="002763AB">
        <w:rPr>
          <w:rFonts w:ascii="Times New Roman" w:hAnsi="Times New Roman" w:cs="Times New Roman"/>
          <w:sz w:val="24"/>
          <w:szCs w:val="24"/>
        </w:rPr>
        <w:t xml:space="preserve">Data in this press release are based on quarterly financial reports from approximately </w:t>
      </w:r>
      <w:r>
        <w:rPr>
          <w:rFonts w:ascii="Times New Roman" w:hAnsi="Times New Roman" w:cs="Times New Roman"/>
          <w:sz w:val="24"/>
          <w:szCs w:val="24"/>
        </w:rPr>
        <w:t>6</w:t>
      </w:r>
      <w:r w:rsidRPr="002763AB">
        <w:rPr>
          <w:rFonts w:ascii="Times New Roman" w:hAnsi="Times New Roman" w:cs="Times New Roman"/>
          <w:sz w:val="24"/>
          <w:szCs w:val="24"/>
        </w:rPr>
        <w:t xml:space="preserve">00 U.S. corporations. The data are estimated from a sample survey and are subject to sampling and </w:t>
      </w:r>
      <w:proofErr w:type="spellStart"/>
      <w:r w:rsidRPr="002763AB">
        <w:rPr>
          <w:rFonts w:ascii="Times New Roman" w:hAnsi="Times New Roman" w:cs="Times New Roman"/>
          <w:sz w:val="24"/>
          <w:szCs w:val="24"/>
        </w:rPr>
        <w:t>nonsampling</w:t>
      </w:r>
      <w:proofErr w:type="spellEnd"/>
      <w:r w:rsidRPr="002763AB">
        <w:rPr>
          <w:rFonts w:ascii="Times New Roman" w:hAnsi="Times New Roman" w:cs="Times New Roman"/>
          <w:sz w:val="24"/>
          <w:szCs w:val="24"/>
        </w:rPr>
        <w:t xml:space="preserve"> errors.</w:t>
      </w:r>
    </w:p>
    <w:p w14:paraId="553841C1" w14:textId="64827ADC" w:rsidR="007C6E78" w:rsidRDefault="007C6E78" w:rsidP="005D144A">
      <w:pPr>
        <w:spacing w:after="120"/>
        <w:ind w:left="-360"/>
        <w:rPr>
          <w:rFonts w:ascii="Times New Roman" w:hAnsi="Times New Roman" w:cs="Times New Roman"/>
          <w:sz w:val="24"/>
          <w:szCs w:val="24"/>
        </w:rPr>
      </w:pPr>
      <w:r w:rsidRPr="00511D67">
        <w:rPr>
          <w:rFonts w:ascii="Times New Roman" w:hAnsi="Times New Roman" w:cs="Times New Roman"/>
          <w:sz w:val="24"/>
          <w:szCs w:val="24"/>
        </w:rPr>
        <w:t xml:space="preserve">Sampling error occurs because only a subset of the entire population is measured.  Estimates of sampling error can be computed based on the sample and used to construct confidence intervals around the estimates.  Statements of change appearing in this report include 90 percent confidence intervals.  Thus, a statement in the report such as “up $2.5 (± 0.2) billion” estimates the interval (+$2.3 billion to +$2.7 billion) within which the actual value is likely to fall in 90 percent of samples of the same size and design, drawn from the same population.  </w:t>
      </w:r>
      <w:r w:rsidR="002F01F7" w:rsidRPr="002F01F7">
        <w:rPr>
          <w:rFonts w:ascii="Times New Roman" w:hAnsi="Times New Roman" w:cs="Times New Roman"/>
          <w:sz w:val="24"/>
          <w:szCs w:val="24"/>
        </w:rPr>
        <w:t>If the range of estimated change contains zero (0), then it is uncertain whether there is an increase or decrease; that is, the change is not statistically different from zero (0).</w:t>
      </w:r>
    </w:p>
    <w:p w14:paraId="2EDD98C0" w14:textId="4182E4CC" w:rsidR="001E4F6D" w:rsidRDefault="007C6E78" w:rsidP="006E44F0">
      <w:pPr>
        <w:spacing w:after="120"/>
        <w:ind w:left="-360"/>
        <w:rPr>
          <w:rFonts w:ascii="Times New Roman" w:hAnsi="Times New Roman" w:cs="Times New Roman"/>
          <w:sz w:val="24"/>
          <w:szCs w:val="24"/>
        </w:rPr>
      </w:pPr>
      <w:proofErr w:type="spellStart"/>
      <w:r w:rsidRPr="00511D67">
        <w:rPr>
          <w:rFonts w:ascii="Times New Roman" w:hAnsi="Times New Roman" w:cs="Times New Roman"/>
          <w:sz w:val="24"/>
          <w:szCs w:val="24"/>
        </w:rPr>
        <w:t>Nonsampling</w:t>
      </w:r>
      <w:proofErr w:type="spellEnd"/>
      <w:r w:rsidRPr="00511D67">
        <w:rPr>
          <w:rFonts w:ascii="Times New Roman" w:hAnsi="Times New Roman" w:cs="Times New Roman"/>
          <w:sz w:val="24"/>
          <w:szCs w:val="24"/>
        </w:rPr>
        <w:t xml:space="preserve"> error encompasses all other factors that contribute to the total error of a survey, including response errors, nonresponse, and coverage errors. Although no direct measures of </w:t>
      </w:r>
      <w:proofErr w:type="spellStart"/>
      <w:r w:rsidRPr="00511D67">
        <w:rPr>
          <w:rFonts w:ascii="Times New Roman" w:hAnsi="Times New Roman" w:cs="Times New Roman"/>
          <w:sz w:val="24"/>
          <w:szCs w:val="24"/>
        </w:rPr>
        <w:t>nonsampling</w:t>
      </w:r>
      <w:proofErr w:type="spellEnd"/>
      <w:r w:rsidRPr="00511D67">
        <w:rPr>
          <w:rFonts w:ascii="Times New Roman" w:hAnsi="Times New Roman" w:cs="Times New Roman"/>
          <w:sz w:val="24"/>
          <w:szCs w:val="24"/>
        </w:rPr>
        <w:t xml:space="preserve"> error are available, precautionary steps were taken in all phases of the collection, processing, and tabulation of the data in an effort to minimize their influence.  The quarterly publication</w:t>
      </w:r>
      <w:r w:rsidRPr="00F53F29">
        <w:rPr>
          <w:rFonts w:ascii="Times New Roman" w:hAnsi="Times New Roman" w:cs="Times New Roman"/>
          <w:sz w:val="24"/>
          <w:szCs w:val="24"/>
        </w:rPr>
        <w:t xml:space="preserve">, Quarterly Financial Report for Manufacturing, Mining, Trade and Selected Service Industries – </w:t>
      </w:r>
      <w:r w:rsidR="007B3180">
        <w:rPr>
          <w:rFonts w:ascii="Times New Roman" w:hAnsi="Times New Roman" w:cs="Times New Roman"/>
          <w:sz w:val="24"/>
          <w:szCs w:val="24"/>
        </w:rPr>
        <w:t>Third</w:t>
      </w:r>
      <w:r w:rsidRPr="00F53F29">
        <w:rPr>
          <w:rFonts w:ascii="Times New Roman" w:hAnsi="Times New Roman" w:cs="Times New Roman"/>
          <w:sz w:val="24"/>
          <w:szCs w:val="24"/>
        </w:rPr>
        <w:t xml:space="preserve"> Quarter 2016 (QFR/16-Q</w:t>
      </w:r>
      <w:r w:rsidR="007B3180">
        <w:rPr>
          <w:rFonts w:ascii="Times New Roman" w:hAnsi="Times New Roman" w:cs="Times New Roman"/>
          <w:sz w:val="24"/>
          <w:szCs w:val="24"/>
        </w:rPr>
        <w:t>3</w:t>
      </w:r>
      <w:r w:rsidRPr="00F53F29">
        <w:rPr>
          <w:rFonts w:ascii="Times New Roman" w:hAnsi="Times New Roman" w:cs="Times New Roman"/>
          <w:sz w:val="24"/>
          <w:szCs w:val="24"/>
        </w:rPr>
        <w:t>),</w:t>
      </w:r>
      <w:r w:rsidRPr="00511D67">
        <w:rPr>
          <w:rFonts w:ascii="Times New Roman" w:hAnsi="Times New Roman" w:cs="Times New Roman"/>
          <w:sz w:val="24"/>
          <w:szCs w:val="24"/>
        </w:rPr>
        <w:t xml:space="preserve"> includes more detailed explanations of </w:t>
      </w:r>
      <w:proofErr w:type="spellStart"/>
      <w:r w:rsidRPr="00511D67">
        <w:rPr>
          <w:rFonts w:ascii="Times New Roman" w:hAnsi="Times New Roman" w:cs="Times New Roman"/>
          <w:sz w:val="24"/>
          <w:szCs w:val="24"/>
        </w:rPr>
        <w:t>nonsampling</w:t>
      </w:r>
      <w:proofErr w:type="spellEnd"/>
      <w:r w:rsidRPr="00511D67">
        <w:rPr>
          <w:rFonts w:ascii="Times New Roman" w:hAnsi="Times New Roman" w:cs="Times New Roman"/>
          <w:sz w:val="24"/>
          <w:szCs w:val="24"/>
        </w:rPr>
        <w:t xml:space="preserve"> and sampling error, and additional measures of sampling variability.</w:t>
      </w:r>
      <w:r w:rsidR="005D144A">
        <w:rPr>
          <w:rFonts w:ascii="Times New Roman" w:hAnsi="Times New Roman" w:cs="Times New Roman"/>
          <w:sz w:val="24"/>
          <w:szCs w:val="24"/>
        </w:rPr>
        <w:t xml:space="preserve">  </w:t>
      </w:r>
    </w:p>
    <w:p w14:paraId="5B8CCC44" w14:textId="1B9B2492" w:rsidR="005D144A" w:rsidRDefault="005D144A" w:rsidP="006E44F0">
      <w:pPr>
        <w:spacing w:after="120"/>
        <w:ind w:left="-360"/>
        <w:rPr>
          <w:rFonts w:ascii="Times New Roman" w:hAnsi="Times New Roman" w:cs="Times New Roman"/>
          <w:sz w:val="24"/>
          <w:szCs w:val="24"/>
        </w:rPr>
      </w:pPr>
      <w:r w:rsidRPr="005B61C2">
        <w:rPr>
          <w:rFonts w:ascii="Times New Roman" w:hAnsi="Times New Roman" w:cs="Times New Roman"/>
          <w:sz w:val="24"/>
          <w:szCs w:val="24"/>
        </w:rPr>
        <w:lastRenderedPageBreak/>
        <w:t xml:space="preserve">Explanations of confidence intervals and sampling variability can be found on our website </w:t>
      </w:r>
      <w:r>
        <w:rPr>
          <w:rFonts w:ascii="Times New Roman" w:hAnsi="Times New Roman" w:cs="Times New Roman"/>
          <w:sz w:val="24"/>
          <w:szCs w:val="24"/>
        </w:rPr>
        <w:t>at &lt;</w:t>
      </w:r>
      <w:hyperlink r:id="rId24" w:history="1">
        <w:r w:rsidR="00BF249F">
          <w:rPr>
            <w:rStyle w:val="Hyperlink"/>
            <w:rFonts w:ascii="Times New Roman" w:hAnsi="Times New Roman" w:cs="Times New Roman"/>
            <w:sz w:val="24"/>
            <w:szCs w:val="24"/>
          </w:rPr>
          <w:t>www.census.gov/econ/qfr/documents/QFR_Methodology.pdf</w:t>
        </w:r>
      </w:hyperlink>
      <w:r>
        <w:rPr>
          <w:rFonts w:ascii="Times New Roman" w:hAnsi="Times New Roman" w:cs="Times New Roman"/>
          <w:sz w:val="24"/>
          <w:szCs w:val="24"/>
        </w:rPr>
        <w:t>&gt;</w:t>
      </w:r>
      <w:r w:rsidRPr="005B61C2">
        <w:rPr>
          <w:rFonts w:ascii="Times New Roman" w:hAnsi="Times New Roman" w:cs="Times New Roman"/>
          <w:sz w:val="24"/>
          <w:szCs w:val="24"/>
        </w:rPr>
        <w:t>.</w:t>
      </w:r>
    </w:p>
    <w:p w14:paraId="28C5FA9E" w14:textId="77777777" w:rsidR="007C6E78" w:rsidRDefault="007C6E78" w:rsidP="007C6E78">
      <w:pPr>
        <w:spacing w:after="0"/>
        <w:ind w:left="-360"/>
        <w:rPr>
          <w:rFonts w:ascii="Times New Roman" w:hAnsi="Times New Roman" w:cs="Times New Roman"/>
          <w:b/>
          <w:sz w:val="24"/>
          <w:szCs w:val="24"/>
        </w:rPr>
      </w:pPr>
      <w:r>
        <w:rPr>
          <w:rFonts w:ascii="Times New Roman" w:hAnsi="Times New Roman" w:cs="Times New Roman"/>
          <w:b/>
          <w:sz w:val="24"/>
          <w:szCs w:val="24"/>
        </w:rPr>
        <w:t>Data Quality Indicators</w:t>
      </w:r>
    </w:p>
    <w:p w14:paraId="4E2C5856" w14:textId="3702A927" w:rsidR="007C6E78" w:rsidRDefault="007C6E78" w:rsidP="005D144A">
      <w:pPr>
        <w:spacing w:after="120"/>
        <w:ind w:left="-360"/>
        <w:rPr>
          <w:rFonts w:ascii="Times New Roman" w:hAnsi="Times New Roman" w:cs="Times New Roman"/>
          <w:sz w:val="24"/>
          <w:szCs w:val="24"/>
        </w:rPr>
      </w:pPr>
      <w:r w:rsidRPr="00511D67">
        <w:rPr>
          <w:rFonts w:ascii="Times New Roman" w:hAnsi="Times New Roman" w:cs="Times New Roman"/>
          <w:sz w:val="24"/>
          <w:szCs w:val="24"/>
        </w:rPr>
        <w:t xml:space="preserve">The QFR produces two indicators of data quality: the Unit Response Rate and the Total Quantity Response Rate.  The URR is defined as the percentage of sampled units (unweighted) that responded to the current quarter’s survey.  In determining the URR, a unit is classified as a respondent if it provided adequate information for key QFR data items.  The TQRR is defined as the </w:t>
      </w:r>
      <w:r w:rsidR="00DD1DAC">
        <w:rPr>
          <w:rFonts w:ascii="Times New Roman" w:hAnsi="Times New Roman" w:cs="Times New Roman"/>
          <w:sz w:val="24"/>
          <w:szCs w:val="24"/>
        </w:rPr>
        <w:t xml:space="preserve">proportion of the </w:t>
      </w:r>
      <w:r w:rsidRPr="00511D67">
        <w:rPr>
          <w:rFonts w:ascii="Times New Roman" w:hAnsi="Times New Roman" w:cs="Times New Roman"/>
          <w:sz w:val="24"/>
          <w:szCs w:val="24"/>
        </w:rPr>
        <w:t>weighted estimated total of a key QFR data item that is either reported by a survey unit or acquired from some other information source (such as a publicly available quarterly or annual report) that is determined to be equivalent in quality to reported data. The TQRR is calculated for the QFR data items Net sales, Depreciation, Income before income taxes</w:t>
      </w:r>
      <w:r w:rsidR="00F40A39">
        <w:rPr>
          <w:rFonts w:ascii="Times New Roman" w:hAnsi="Times New Roman" w:cs="Times New Roman"/>
          <w:sz w:val="24"/>
          <w:szCs w:val="24"/>
        </w:rPr>
        <w:t xml:space="preserve"> (NIBT)</w:t>
      </w:r>
      <w:r w:rsidRPr="00511D67">
        <w:rPr>
          <w:rFonts w:ascii="Times New Roman" w:hAnsi="Times New Roman" w:cs="Times New Roman"/>
          <w:sz w:val="24"/>
          <w:szCs w:val="24"/>
        </w:rPr>
        <w:t xml:space="preserve">, and Total assets.  </w:t>
      </w:r>
    </w:p>
    <w:tbl>
      <w:tblPr>
        <w:tblStyle w:val="TableGrid"/>
        <w:tblW w:w="10780" w:type="dxa"/>
        <w:jc w:val="center"/>
        <w:tblInd w:w="-94" w:type="dxa"/>
        <w:tblLook w:val="04A0" w:firstRow="1" w:lastRow="0" w:firstColumn="1" w:lastColumn="0" w:noHBand="0" w:noVBand="1"/>
      </w:tblPr>
      <w:tblGrid>
        <w:gridCol w:w="6281"/>
        <w:gridCol w:w="726"/>
        <w:gridCol w:w="1301"/>
        <w:gridCol w:w="719"/>
        <w:gridCol w:w="732"/>
        <w:gridCol w:w="1021"/>
      </w:tblGrid>
      <w:tr w:rsidR="007C6E78" w14:paraId="55E5A9FC" w14:textId="77777777" w:rsidTr="002F01F7">
        <w:trPr>
          <w:trHeight w:val="755"/>
          <w:jc w:val="center"/>
        </w:trPr>
        <w:tc>
          <w:tcPr>
            <w:tcW w:w="10780" w:type="dxa"/>
            <w:gridSpan w:val="6"/>
            <w:tcBorders>
              <w:top w:val="single" w:sz="4" w:space="0" w:color="auto"/>
              <w:left w:val="single" w:sz="4" w:space="0" w:color="auto"/>
              <w:bottom w:val="single" w:sz="4" w:space="0" w:color="auto"/>
              <w:right w:val="single" w:sz="4" w:space="0" w:color="auto"/>
            </w:tcBorders>
            <w:vAlign w:val="center"/>
          </w:tcPr>
          <w:p w14:paraId="5FAEF479" w14:textId="0D7B1474" w:rsidR="007C6E78" w:rsidRPr="002F01F7" w:rsidRDefault="007C6E78" w:rsidP="002F01F7">
            <w:pPr>
              <w:jc w:val="center"/>
              <w:rPr>
                <w:rFonts w:ascii="Times New Roman" w:hAnsi="Times New Roman" w:cs="Times New Roman"/>
                <w:sz w:val="24"/>
                <w:szCs w:val="24"/>
                <w:vertAlign w:val="superscript"/>
              </w:rPr>
            </w:pPr>
            <w:r w:rsidRPr="00082C45">
              <w:rPr>
                <w:rFonts w:ascii="Times New Roman" w:hAnsi="Times New Roman" w:cs="Times New Roman"/>
                <w:sz w:val="24"/>
                <w:szCs w:val="24"/>
              </w:rPr>
              <w:t xml:space="preserve">Total Quantity Response Rates and Unit Response Rates </w:t>
            </w:r>
            <w:r w:rsidRPr="00082C45">
              <w:rPr>
                <w:rFonts w:ascii="Times New Roman" w:hAnsi="Times New Roman" w:cs="Times New Roman"/>
                <w:sz w:val="24"/>
                <w:szCs w:val="24"/>
                <w:vertAlign w:val="superscript"/>
              </w:rPr>
              <w:t>1,2</w:t>
            </w:r>
          </w:p>
        </w:tc>
      </w:tr>
      <w:tr w:rsidR="007C6E78" w14:paraId="191A580C" w14:textId="77777777" w:rsidTr="007C6E78">
        <w:trPr>
          <w:trHeight w:val="339"/>
          <w:jc w:val="center"/>
        </w:trPr>
        <w:tc>
          <w:tcPr>
            <w:tcW w:w="6281" w:type="dxa"/>
            <w:vMerge w:val="restart"/>
            <w:tcBorders>
              <w:top w:val="single" w:sz="4" w:space="0" w:color="auto"/>
              <w:left w:val="single" w:sz="4" w:space="0" w:color="auto"/>
              <w:bottom w:val="single" w:sz="12" w:space="0" w:color="auto"/>
              <w:right w:val="single" w:sz="4" w:space="0" w:color="auto"/>
            </w:tcBorders>
            <w:vAlign w:val="center"/>
          </w:tcPr>
          <w:p w14:paraId="66B71531" w14:textId="77777777" w:rsidR="007C6E78" w:rsidRDefault="007C6E78" w:rsidP="007C6E78">
            <w:pPr>
              <w:jc w:val="center"/>
              <w:rPr>
                <w:rFonts w:ascii="Times New Roman" w:hAnsi="Times New Roman" w:cs="Times New Roman"/>
                <w:sz w:val="24"/>
                <w:szCs w:val="24"/>
              </w:rPr>
            </w:pPr>
            <w:r>
              <w:rPr>
                <w:rFonts w:ascii="Times New Roman" w:hAnsi="Times New Roman" w:cs="Times New Roman"/>
                <w:sz w:val="24"/>
                <w:szCs w:val="24"/>
              </w:rPr>
              <w:t>Industry</w:t>
            </w:r>
          </w:p>
        </w:tc>
        <w:tc>
          <w:tcPr>
            <w:tcW w:w="3478" w:type="dxa"/>
            <w:gridSpan w:val="4"/>
            <w:tcBorders>
              <w:top w:val="single" w:sz="4" w:space="0" w:color="auto"/>
              <w:left w:val="single" w:sz="4" w:space="0" w:color="auto"/>
            </w:tcBorders>
            <w:vAlign w:val="center"/>
          </w:tcPr>
          <w:p w14:paraId="18B4E12E" w14:textId="77777777" w:rsidR="007C6E78" w:rsidRPr="00024833" w:rsidRDefault="007C6E78" w:rsidP="007C6E78">
            <w:pPr>
              <w:jc w:val="center"/>
              <w:rPr>
                <w:rFonts w:ascii="Times New Roman" w:hAnsi="Times New Roman" w:cs="Times New Roman"/>
                <w:sz w:val="21"/>
                <w:szCs w:val="21"/>
              </w:rPr>
            </w:pPr>
            <w:r w:rsidRPr="00024833">
              <w:rPr>
                <w:rFonts w:ascii="Times New Roman" w:hAnsi="Times New Roman" w:cs="Times New Roman"/>
                <w:sz w:val="21"/>
                <w:szCs w:val="21"/>
              </w:rPr>
              <w:t>Total Quantity Response Rate</w:t>
            </w:r>
          </w:p>
        </w:tc>
        <w:tc>
          <w:tcPr>
            <w:tcW w:w="1021" w:type="dxa"/>
            <w:vMerge w:val="restart"/>
            <w:tcBorders>
              <w:top w:val="single" w:sz="4" w:space="0" w:color="auto"/>
              <w:right w:val="single" w:sz="4" w:space="0" w:color="auto"/>
            </w:tcBorders>
            <w:vAlign w:val="center"/>
          </w:tcPr>
          <w:p w14:paraId="6E2F5629" w14:textId="77777777" w:rsidR="007C6E78" w:rsidRPr="00024833" w:rsidRDefault="007C6E78" w:rsidP="007C6E78">
            <w:pPr>
              <w:jc w:val="center"/>
              <w:rPr>
                <w:rFonts w:ascii="Times New Roman" w:hAnsi="Times New Roman" w:cs="Times New Roman"/>
                <w:sz w:val="21"/>
                <w:szCs w:val="21"/>
              </w:rPr>
            </w:pPr>
            <w:r w:rsidRPr="00024833">
              <w:rPr>
                <w:rFonts w:ascii="Times New Roman" w:hAnsi="Times New Roman" w:cs="Times New Roman"/>
                <w:sz w:val="21"/>
                <w:szCs w:val="21"/>
              </w:rPr>
              <w:t xml:space="preserve">Unit </w:t>
            </w:r>
          </w:p>
          <w:p w14:paraId="2909426E" w14:textId="77777777" w:rsidR="007C6E78" w:rsidRPr="00024833" w:rsidRDefault="007C6E78" w:rsidP="007C6E78">
            <w:pPr>
              <w:jc w:val="center"/>
              <w:rPr>
                <w:rFonts w:ascii="Times New Roman" w:hAnsi="Times New Roman" w:cs="Times New Roman"/>
                <w:sz w:val="21"/>
                <w:szCs w:val="21"/>
              </w:rPr>
            </w:pPr>
            <w:r w:rsidRPr="00024833">
              <w:rPr>
                <w:rFonts w:ascii="Times New Roman" w:hAnsi="Times New Roman" w:cs="Times New Roman"/>
                <w:sz w:val="21"/>
                <w:szCs w:val="21"/>
              </w:rPr>
              <w:t>Response</w:t>
            </w:r>
          </w:p>
          <w:p w14:paraId="63464037" w14:textId="77777777" w:rsidR="007C6E78" w:rsidRPr="00024833" w:rsidRDefault="007C6E78" w:rsidP="007C6E78">
            <w:pPr>
              <w:jc w:val="center"/>
              <w:rPr>
                <w:rFonts w:ascii="Times New Roman" w:hAnsi="Times New Roman" w:cs="Times New Roman"/>
                <w:sz w:val="21"/>
                <w:szCs w:val="21"/>
              </w:rPr>
            </w:pPr>
            <w:r w:rsidRPr="00024833">
              <w:rPr>
                <w:rFonts w:ascii="Times New Roman" w:hAnsi="Times New Roman" w:cs="Times New Roman"/>
                <w:sz w:val="21"/>
                <w:szCs w:val="21"/>
              </w:rPr>
              <w:t>Rate</w:t>
            </w:r>
          </w:p>
        </w:tc>
      </w:tr>
      <w:tr w:rsidR="007C6E78" w14:paraId="76623666" w14:textId="77777777" w:rsidTr="007C6E78">
        <w:trPr>
          <w:trHeight w:val="495"/>
          <w:jc w:val="center"/>
        </w:trPr>
        <w:tc>
          <w:tcPr>
            <w:tcW w:w="6281" w:type="dxa"/>
            <w:vMerge/>
            <w:tcBorders>
              <w:top w:val="single" w:sz="18" w:space="0" w:color="auto"/>
              <w:left w:val="single" w:sz="4" w:space="0" w:color="auto"/>
              <w:bottom w:val="single" w:sz="12" w:space="0" w:color="auto"/>
              <w:right w:val="single" w:sz="4" w:space="0" w:color="auto"/>
            </w:tcBorders>
            <w:vAlign w:val="center"/>
          </w:tcPr>
          <w:p w14:paraId="22B08493" w14:textId="77777777" w:rsidR="007C6E78" w:rsidRDefault="007C6E78" w:rsidP="007C6E78">
            <w:pPr>
              <w:jc w:val="center"/>
              <w:rPr>
                <w:rFonts w:ascii="Times New Roman" w:hAnsi="Times New Roman" w:cs="Times New Roman"/>
                <w:sz w:val="24"/>
                <w:szCs w:val="24"/>
              </w:rPr>
            </w:pPr>
          </w:p>
        </w:tc>
        <w:tc>
          <w:tcPr>
            <w:tcW w:w="726" w:type="dxa"/>
            <w:tcBorders>
              <w:left w:val="single" w:sz="4" w:space="0" w:color="auto"/>
            </w:tcBorders>
            <w:vAlign w:val="center"/>
          </w:tcPr>
          <w:p w14:paraId="68DAC86D" w14:textId="77777777" w:rsidR="007C6E78" w:rsidRPr="00024833" w:rsidRDefault="007C6E78" w:rsidP="007C6E78">
            <w:pPr>
              <w:jc w:val="center"/>
              <w:rPr>
                <w:rFonts w:ascii="Times New Roman" w:hAnsi="Times New Roman" w:cs="Times New Roman"/>
                <w:sz w:val="21"/>
                <w:szCs w:val="21"/>
              </w:rPr>
            </w:pPr>
            <w:r w:rsidRPr="00024833">
              <w:rPr>
                <w:rFonts w:ascii="Times New Roman" w:hAnsi="Times New Roman" w:cs="Times New Roman"/>
                <w:sz w:val="21"/>
                <w:szCs w:val="21"/>
              </w:rPr>
              <w:t>Net Sales</w:t>
            </w:r>
          </w:p>
        </w:tc>
        <w:tc>
          <w:tcPr>
            <w:tcW w:w="1301" w:type="dxa"/>
            <w:vAlign w:val="center"/>
          </w:tcPr>
          <w:p w14:paraId="2C47F350" w14:textId="77777777" w:rsidR="007C6E78" w:rsidRPr="00024833" w:rsidRDefault="007C6E78" w:rsidP="007C6E78">
            <w:pPr>
              <w:jc w:val="center"/>
              <w:rPr>
                <w:rFonts w:ascii="Times New Roman" w:hAnsi="Times New Roman" w:cs="Times New Roman"/>
                <w:sz w:val="21"/>
                <w:szCs w:val="21"/>
              </w:rPr>
            </w:pPr>
            <w:r w:rsidRPr="00024833">
              <w:rPr>
                <w:rFonts w:ascii="Times New Roman" w:hAnsi="Times New Roman" w:cs="Times New Roman"/>
                <w:sz w:val="21"/>
                <w:szCs w:val="21"/>
              </w:rPr>
              <w:t>Depreciation</w:t>
            </w:r>
          </w:p>
        </w:tc>
        <w:tc>
          <w:tcPr>
            <w:tcW w:w="719" w:type="dxa"/>
            <w:vAlign w:val="center"/>
          </w:tcPr>
          <w:p w14:paraId="5F4E0540" w14:textId="77777777" w:rsidR="007C6E78" w:rsidRPr="00024833" w:rsidRDefault="007C6E78" w:rsidP="007C6E78">
            <w:pPr>
              <w:jc w:val="center"/>
              <w:rPr>
                <w:rFonts w:ascii="Times New Roman" w:hAnsi="Times New Roman" w:cs="Times New Roman"/>
                <w:sz w:val="21"/>
                <w:szCs w:val="21"/>
              </w:rPr>
            </w:pPr>
            <w:r w:rsidRPr="00024833">
              <w:rPr>
                <w:rFonts w:ascii="Times New Roman" w:hAnsi="Times New Roman" w:cs="Times New Roman"/>
                <w:sz w:val="21"/>
                <w:szCs w:val="21"/>
              </w:rPr>
              <w:t>NIBT</w:t>
            </w:r>
          </w:p>
        </w:tc>
        <w:tc>
          <w:tcPr>
            <w:tcW w:w="732" w:type="dxa"/>
            <w:vAlign w:val="center"/>
          </w:tcPr>
          <w:p w14:paraId="4F2C4323" w14:textId="77777777" w:rsidR="007C6E78" w:rsidRPr="00024833" w:rsidRDefault="007C6E78" w:rsidP="007C6E78">
            <w:pPr>
              <w:jc w:val="center"/>
              <w:rPr>
                <w:rFonts w:ascii="Times New Roman" w:hAnsi="Times New Roman" w:cs="Times New Roman"/>
                <w:sz w:val="21"/>
                <w:szCs w:val="21"/>
              </w:rPr>
            </w:pPr>
            <w:r w:rsidRPr="00024833">
              <w:rPr>
                <w:rFonts w:ascii="Times New Roman" w:hAnsi="Times New Roman" w:cs="Times New Roman"/>
                <w:sz w:val="21"/>
                <w:szCs w:val="21"/>
              </w:rPr>
              <w:t>Total assets</w:t>
            </w:r>
          </w:p>
        </w:tc>
        <w:tc>
          <w:tcPr>
            <w:tcW w:w="1021" w:type="dxa"/>
            <w:vMerge/>
            <w:tcBorders>
              <w:right w:val="single" w:sz="4" w:space="0" w:color="auto"/>
            </w:tcBorders>
            <w:vAlign w:val="center"/>
          </w:tcPr>
          <w:p w14:paraId="70187C37" w14:textId="77777777" w:rsidR="007C6E78" w:rsidRPr="00024833" w:rsidRDefault="007C6E78" w:rsidP="007C6E78">
            <w:pPr>
              <w:jc w:val="center"/>
              <w:rPr>
                <w:rFonts w:ascii="Times New Roman" w:hAnsi="Times New Roman" w:cs="Times New Roman"/>
                <w:sz w:val="21"/>
                <w:szCs w:val="21"/>
              </w:rPr>
            </w:pPr>
          </w:p>
        </w:tc>
      </w:tr>
      <w:tr w:rsidR="007C6E78" w14:paraId="338068C0" w14:textId="77777777" w:rsidTr="007C6E78">
        <w:trPr>
          <w:trHeight w:val="234"/>
          <w:jc w:val="center"/>
        </w:trPr>
        <w:tc>
          <w:tcPr>
            <w:tcW w:w="6281" w:type="dxa"/>
            <w:vMerge/>
            <w:tcBorders>
              <w:top w:val="single" w:sz="18" w:space="0" w:color="auto"/>
              <w:left w:val="single" w:sz="4" w:space="0" w:color="auto"/>
              <w:bottom w:val="single" w:sz="4" w:space="0" w:color="auto"/>
              <w:right w:val="single" w:sz="4" w:space="0" w:color="auto"/>
            </w:tcBorders>
            <w:vAlign w:val="center"/>
          </w:tcPr>
          <w:p w14:paraId="30CDE0F7" w14:textId="77777777" w:rsidR="007C6E78" w:rsidRDefault="007C6E78" w:rsidP="007C6E78">
            <w:pPr>
              <w:jc w:val="center"/>
              <w:rPr>
                <w:rFonts w:ascii="Times New Roman" w:hAnsi="Times New Roman" w:cs="Times New Roman"/>
                <w:sz w:val="24"/>
                <w:szCs w:val="24"/>
              </w:rPr>
            </w:pPr>
          </w:p>
        </w:tc>
        <w:tc>
          <w:tcPr>
            <w:tcW w:w="3478" w:type="dxa"/>
            <w:gridSpan w:val="4"/>
            <w:tcBorders>
              <w:left w:val="single" w:sz="4" w:space="0" w:color="auto"/>
              <w:bottom w:val="single" w:sz="4" w:space="0" w:color="auto"/>
            </w:tcBorders>
            <w:vAlign w:val="center"/>
          </w:tcPr>
          <w:p w14:paraId="653C2B96" w14:textId="77777777" w:rsidR="007C6E78" w:rsidRPr="00024833" w:rsidRDefault="007C6E78" w:rsidP="007C6E78">
            <w:pPr>
              <w:jc w:val="center"/>
              <w:rPr>
                <w:rFonts w:ascii="Times New Roman" w:hAnsi="Times New Roman" w:cs="Times New Roman"/>
                <w:sz w:val="21"/>
                <w:szCs w:val="21"/>
              </w:rPr>
            </w:pPr>
            <w:r w:rsidRPr="00024833">
              <w:rPr>
                <w:rFonts w:ascii="Times New Roman" w:hAnsi="Times New Roman" w:cs="Times New Roman"/>
                <w:sz w:val="21"/>
                <w:szCs w:val="21"/>
              </w:rPr>
              <w:t>(percent)</w:t>
            </w:r>
          </w:p>
        </w:tc>
        <w:tc>
          <w:tcPr>
            <w:tcW w:w="1021" w:type="dxa"/>
            <w:tcBorders>
              <w:bottom w:val="single" w:sz="4" w:space="0" w:color="auto"/>
              <w:right w:val="single" w:sz="4" w:space="0" w:color="auto"/>
            </w:tcBorders>
            <w:vAlign w:val="center"/>
          </w:tcPr>
          <w:p w14:paraId="5060FAC0" w14:textId="77777777" w:rsidR="007C6E78" w:rsidRPr="00024833" w:rsidRDefault="007C6E78" w:rsidP="007C6E78">
            <w:pPr>
              <w:jc w:val="center"/>
              <w:rPr>
                <w:rFonts w:ascii="Times New Roman" w:hAnsi="Times New Roman" w:cs="Times New Roman"/>
                <w:sz w:val="21"/>
                <w:szCs w:val="21"/>
              </w:rPr>
            </w:pPr>
            <w:r w:rsidRPr="00024833">
              <w:rPr>
                <w:rFonts w:ascii="Times New Roman" w:hAnsi="Times New Roman" w:cs="Times New Roman"/>
                <w:sz w:val="21"/>
                <w:szCs w:val="21"/>
              </w:rPr>
              <w:t>(percent)</w:t>
            </w:r>
          </w:p>
        </w:tc>
      </w:tr>
      <w:tr w:rsidR="007C6E78" w14:paraId="17CD62DE" w14:textId="77777777" w:rsidTr="007C6E78">
        <w:trPr>
          <w:trHeight w:val="98"/>
          <w:jc w:val="center"/>
        </w:trPr>
        <w:tc>
          <w:tcPr>
            <w:tcW w:w="6281" w:type="dxa"/>
            <w:tcBorders>
              <w:top w:val="single" w:sz="4" w:space="0" w:color="auto"/>
              <w:left w:val="single" w:sz="4" w:space="0" w:color="auto"/>
              <w:bottom w:val="nil"/>
              <w:right w:val="single" w:sz="4" w:space="0" w:color="auto"/>
            </w:tcBorders>
            <w:vAlign w:val="center"/>
          </w:tcPr>
          <w:p w14:paraId="603F4EC9" w14:textId="77777777" w:rsidR="007C6E78" w:rsidRPr="00C134E1" w:rsidRDefault="007C6E78" w:rsidP="007C6E78">
            <w:pPr>
              <w:rPr>
                <w:rFonts w:ascii="Times New Roman" w:hAnsi="Times New Roman" w:cs="Times New Roman"/>
                <w:sz w:val="10"/>
                <w:szCs w:val="10"/>
              </w:rPr>
            </w:pPr>
          </w:p>
        </w:tc>
        <w:tc>
          <w:tcPr>
            <w:tcW w:w="726" w:type="dxa"/>
            <w:tcBorders>
              <w:top w:val="single" w:sz="4" w:space="0" w:color="auto"/>
              <w:left w:val="single" w:sz="4" w:space="0" w:color="auto"/>
              <w:bottom w:val="nil"/>
            </w:tcBorders>
            <w:vAlign w:val="center"/>
          </w:tcPr>
          <w:p w14:paraId="77BE6855" w14:textId="77777777" w:rsidR="007C6E78" w:rsidRPr="00C134E1" w:rsidRDefault="007C6E78" w:rsidP="007C6E78">
            <w:pPr>
              <w:jc w:val="center"/>
              <w:rPr>
                <w:rFonts w:ascii="Times New Roman" w:hAnsi="Times New Roman" w:cs="Times New Roman"/>
                <w:sz w:val="10"/>
                <w:szCs w:val="10"/>
              </w:rPr>
            </w:pPr>
          </w:p>
        </w:tc>
        <w:tc>
          <w:tcPr>
            <w:tcW w:w="1301" w:type="dxa"/>
            <w:tcBorders>
              <w:top w:val="single" w:sz="4" w:space="0" w:color="auto"/>
              <w:bottom w:val="nil"/>
            </w:tcBorders>
            <w:vAlign w:val="center"/>
          </w:tcPr>
          <w:p w14:paraId="5EB5739F" w14:textId="77777777" w:rsidR="007C6E78" w:rsidRPr="00C134E1" w:rsidRDefault="007C6E78" w:rsidP="007C6E78">
            <w:pPr>
              <w:jc w:val="center"/>
              <w:rPr>
                <w:rFonts w:ascii="Times New Roman" w:hAnsi="Times New Roman" w:cs="Times New Roman"/>
                <w:sz w:val="10"/>
                <w:szCs w:val="10"/>
              </w:rPr>
            </w:pPr>
          </w:p>
        </w:tc>
        <w:tc>
          <w:tcPr>
            <w:tcW w:w="719" w:type="dxa"/>
            <w:tcBorders>
              <w:top w:val="single" w:sz="4" w:space="0" w:color="auto"/>
              <w:bottom w:val="nil"/>
            </w:tcBorders>
            <w:vAlign w:val="center"/>
          </w:tcPr>
          <w:p w14:paraId="7221866E" w14:textId="77777777" w:rsidR="007C6E78" w:rsidRPr="00C134E1" w:rsidRDefault="007C6E78" w:rsidP="007C6E78">
            <w:pPr>
              <w:jc w:val="center"/>
              <w:rPr>
                <w:rFonts w:ascii="Times New Roman" w:hAnsi="Times New Roman" w:cs="Times New Roman"/>
                <w:sz w:val="10"/>
                <w:szCs w:val="10"/>
              </w:rPr>
            </w:pPr>
          </w:p>
        </w:tc>
        <w:tc>
          <w:tcPr>
            <w:tcW w:w="732" w:type="dxa"/>
            <w:tcBorders>
              <w:top w:val="single" w:sz="4" w:space="0" w:color="auto"/>
              <w:bottom w:val="nil"/>
            </w:tcBorders>
            <w:vAlign w:val="center"/>
          </w:tcPr>
          <w:p w14:paraId="0B2F2AD7" w14:textId="77777777" w:rsidR="007C6E78" w:rsidRPr="00C134E1" w:rsidRDefault="007C6E78" w:rsidP="007C6E78">
            <w:pPr>
              <w:jc w:val="center"/>
              <w:rPr>
                <w:rFonts w:ascii="Times New Roman" w:hAnsi="Times New Roman" w:cs="Times New Roman"/>
                <w:sz w:val="10"/>
                <w:szCs w:val="10"/>
              </w:rPr>
            </w:pPr>
          </w:p>
        </w:tc>
        <w:tc>
          <w:tcPr>
            <w:tcW w:w="1021" w:type="dxa"/>
            <w:tcBorders>
              <w:top w:val="single" w:sz="4" w:space="0" w:color="auto"/>
              <w:bottom w:val="nil"/>
              <w:right w:val="single" w:sz="4" w:space="0" w:color="auto"/>
            </w:tcBorders>
            <w:vAlign w:val="center"/>
          </w:tcPr>
          <w:p w14:paraId="2B8B3DC4" w14:textId="77777777" w:rsidR="007C6E78" w:rsidRPr="00C134E1" w:rsidRDefault="007C6E78" w:rsidP="007C6E78">
            <w:pPr>
              <w:jc w:val="center"/>
              <w:rPr>
                <w:rFonts w:ascii="Times New Roman" w:hAnsi="Times New Roman" w:cs="Times New Roman"/>
                <w:sz w:val="10"/>
                <w:szCs w:val="10"/>
              </w:rPr>
            </w:pPr>
          </w:p>
        </w:tc>
      </w:tr>
      <w:tr w:rsidR="007C6E78" w14:paraId="31370B77" w14:textId="77777777" w:rsidTr="00C21470">
        <w:trPr>
          <w:trHeight w:val="216"/>
          <w:jc w:val="center"/>
        </w:trPr>
        <w:tc>
          <w:tcPr>
            <w:tcW w:w="6281" w:type="dxa"/>
            <w:tcBorders>
              <w:top w:val="nil"/>
              <w:left w:val="single" w:sz="4" w:space="0" w:color="auto"/>
              <w:bottom w:val="nil"/>
              <w:right w:val="single" w:sz="4" w:space="0" w:color="auto"/>
            </w:tcBorders>
            <w:vAlign w:val="center"/>
          </w:tcPr>
          <w:p w14:paraId="3D56B03F" w14:textId="63E2904D" w:rsidR="007C6E78" w:rsidRPr="00351033" w:rsidRDefault="007C6E78" w:rsidP="007C6E78">
            <w:pPr>
              <w:rPr>
                <w:rFonts w:ascii="Times New Roman" w:hAnsi="Times New Roman" w:cs="Times New Roman"/>
              </w:rPr>
            </w:pPr>
            <w:r w:rsidRPr="00351033">
              <w:rPr>
                <w:rFonts w:ascii="Times New Roman" w:hAnsi="Times New Roman" w:cs="Times New Roman"/>
              </w:rPr>
              <w:t xml:space="preserve">All </w:t>
            </w:r>
            <w:r>
              <w:rPr>
                <w:rFonts w:ascii="Times New Roman" w:hAnsi="Times New Roman" w:cs="Times New Roman"/>
              </w:rPr>
              <w:t>retail trade…..</w:t>
            </w:r>
            <w:r w:rsidRPr="00351033">
              <w:rPr>
                <w:rFonts w:ascii="Times New Roman" w:hAnsi="Times New Roman" w:cs="Times New Roman"/>
              </w:rPr>
              <w:t xml:space="preserve"> ………………………………………………</w:t>
            </w:r>
            <w:r>
              <w:rPr>
                <w:rFonts w:ascii="Times New Roman" w:hAnsi="Times New Roman" w:cs="Times New Roman"/>
              </w:rPr>
              <w:t>…..</w:t>
            </w:r>
            <w:r w:rsidRPr="00351033">
              <w:rPr>
                <w:rFonts w:ascii="Times New Roman" w:hAnsi="Times New Roman" w:cs="Times New Roman"/>
              </w:rPr>
              <w:t>.</w:t>
            </w:r>
          </w:p>
        </w:tc>
        <w:tc>
          <w:tcPr>
            <w:tcW w:w="726" w:type="dxa"/>
            <w:tcBorders>
              <w:top w:val="nil"/>
              <w:left w:val="single" w:sz="4" w:space="0" w:color="auto"/>
              <w:bottom w:val="nil"/>
            </w:tcBorders>
          </w:tcPr>
          <w:p w14:paraId="41B4334F" w14:textId="29DA06C3" w:rsidR="007C6E78" w:rsidRPr="00351033" w:rsidRDefault="007B3180" w:rsidP="00FD62C7">
            <w:pPr>
              <w:jc w:val="right"/>
              <w:rPr>
                <w:rFonts w:ascii="Times New Roman" w:hAnsi="Times New Roman" w:cs="Times New Roman"/>
              </w:rPr>
            </w:pPr>
            <w:r>
              <w:rPr>
                <w:rFonts w:ascii="Times New Roman" w:hAnsi="Times New Roman" w:cs="Times New Roman"/>
              </w:rPr>
              <w:t>81.9</w:t>
            </w:r>
            <w:r w:rsidR="007C6E78" w:rsidRPr="00351033">
              <w:rPr>
                <w:rFonts w:ascii="Times New Roman" w:hAnsi="Times New Roman" w:cs="Times New Roman"/>
              </w:rPr>
              <w:t xml:space="preserve"> </w:t>
            </w:r>
          </w:p>
        </w:tc>
        <w:tc>
          <w:tcPr>
            <w:tcW w:w="1301" w:type="dxa"/>
            <w:tcBorders>
              <w:top w:val="nil"/>
              <w:bottom w:val="nil"/>
            </w:tcBorders>
          </w:tcPr>
          <w:p w14:paraId="3921300C" w14:textId="5908FFE7" w:rsidR="007C6E78" w:rsidRPr="00351033" w:rsidRDefault="007B3180" w:rsidP="00FD62C7">
            <w:pPr>
              <w:jc w:val="right"/>
              <w:rPr>
                <w:rFonts w:ascii="Times New Roman" w:hAnsi="Times New Roman" w:cs="Times New Roman"/>
              </w:rPr>
            </w:pPr>
            <w:r>
              <w:rPr>
                <w:rFonts w:ascii="Times New Roman" w:hAnsi="Times New Roman" w:cs="Times New Roman"/>
              </w:rPr>
              <w:t>82.2</w:t>
            </w:r>
          </w:p>
        </w:tc>
        <w:tc>
          <w:tcPr>
            <w:tcW w:w="719" w:type="dxa"/>
            <w:tcBorders>
              <w:top w:val="nil"/>
              <w:bottom w:val="nil"/>
            </w:tcBorders>
          </w:tcPr>
          <w:p w14:paraId="493D07BD" w14:textId="2C048292" w:rsidR="007C6E78" w:rsidRPr="00351033" w:rsidRDefault="007B3180" w:rsidP="00FD62C7">
            <w:pPr>
              <w:jc w:val="right"/>
              <w:rPr>
                <w:rFonts w:ascii="Times New Roman" w:hAnsi="Times New Roman" w:cs="Times New Roman"/>
              </w:rPr>
            </w:pPr>
            <w:r>
              <w:rPr>
                <w:rFonts w:ascii="Times New Roman" w:hAnsi="Times New Roman" w:cs="Times New Roman"/>
              </w:rPr>
              <w:t>84.3</w:t>
            </w:r>
          </w:p>
        </w:tc>
        <w:tc>
          <w:tcPr>
            <w:tcW w:w="732" w:type="dxa"/>
            <w:tcBorders>
              <w:top w:val="nil"/>
              <w:bottom w:val="nil"/>
            </w:tcBorders>
          </w:tcPr>
          <w:p w14:paraId="455EAD29" w14:textId="29448395" w:rsidR="007C6E78" w:rsidRPr="00351033" w:rsidRDefault="007B3180" w:rsidP="00FD62C7">
            <w:pPr>
              <w:jc w:val="right"/>
              <w:rPr>
                <w:rFonts w:ascii="Times New Roman" w:hAnsi="Times New Roman" w:cs="Times New Roman"/>
              </w:rPr>
            </w:pPr>
            <w:r>
              <w:rPr>
                <w:rFonts w:ascii="Times New Roman" w:hAnsi="Times New Roman" w:cs="Times New Roman"/>
              </w:rPr>
              <w:t>82.9</w:t>
            </w:r>
          </w:p>
        </w:tc>
        <w:tc>
          <w:tcPr>
            <w:tcW w:w="1021" w:type="dxa"/>
            <w:tcBorders>
              <w:top w:val="nil"/>
              <w:bottom w:val="nil"/>
              <w:right w:val="single" w:sz="4" w:space="0" w:color="auto"/>
            </w:tcBorders>
          </w:tcPr>
          <w:p w14:paraId="5C25CD04" w14:textId="0D71A1BF" w:rsidR="007C6E78" w:rsidRPr="00351033" w:rsidRDefault="007B3180" w:rsidP="007C6E78">
            <w:pPr>
              <w:jc w:val="right"/>
              <w:rPr>
                <w:rFonts w:ascii="Times New Roman" w:hAnsi="Times New Roman" w:cs="Times New Roman"/>
              </w:rPr>
            </w:pPr>
            <w:r>
              <w:rPr>
                <w:rFonts w:ascii="Times New Roman" w:hAnsi="Times New Roman" w:cs="Times New Roman"/>
              </w:rPr>
              <w:t>54.3</w:t>
            </w:r>
          </w:p>
        </w:tc>
      </w:tr>
      <w:tr w:rsidR="007C6E78" w14:paraId="7D179C03" w14:textId="77777777" w:rsidTr="007C6E78">
        <w:trPr>
          <w:trHeight w:val="135"/>
          <w:jc w:val="center"/>
        </w:trPr>
        <w:tc>
          <w:tcPr>
            <w:tcW w:w="6281" w:type="dxa"/>
            <w:tcBorders>
              <w:top w:val="nil"/>
              <w:left w:val="single" w:sz="4" w:space="0" w:color="auto"/>
              <w:bottom w:val="single" w:sz="4" w:space="0" w:color="auto"/>
              <w:right w:val="single" w:sz="4" w:space="0" w:color="auto"/>
            </w:tcBorders>
            <w:vAlign w:val="center"/>
          </w:tcPr>
          <w:p w14:paraId="76CE5B2A" w14:textId="77777777" w:rsidR="007C6E78" w:rsidRPr="00C134E1" w:rsidRDefault="007C6E78" w:rsidP="007C6E78">
            <w:pPr>
              <w:ind w:left="144"/>
              <w:rPr>
                <w:rFonts w:ascii="Times New Roman" w:hAnsi="Times New Roman" w:cs="Times New Roman"/>
                <w:sz w:val="6"/>
                <w:szCs w:val="6"/>
              </w:rPr>
            </w:pPr>
          </w:p>
        </w:tc>
        <w:tc>
          <w:tcPr>
            <w:tcW w:w="726" w:type="dxa"/>
            <w:tcBorders>
              <w:top w:val="nil"/>
              <w:left w:val="single" w:sz="4" w:space="0" w:color="auto"/>
              <w:bottom w:val="single" w:sz="4" w:space="0" w:color="auto"/>
            </w:tcBorders>
            <w:vAlign w:val="center"/>
          </w:tcPr>
          <w:p w14:paraId="658C63C0" w14:textId="77777777" w:rsidR="007C6E78" w:rsidRPr="00C134E1" w:rsidRDefault="007C6E78" w:rsidP="007C6E78">
            <w:pPr>
              <w:jc w:val="center"/>
              <w:rPr>
                <w:rFonts w:ascii="Times New Roman" w:hAnsi="Times New Roman" w:cs="Times New Roman"/>
                <w:sz w:val="6"/>
                <w:szCs w:val="6"/>
              </w:rPr>
            </w:pPr>
          </w:p>
        </w:tc>
        <w:tc>
          <w:tcPr>
            <w:tcW w:w="1301" w:type="dxa"/>
            <w:tcBorders>
              <w:top w:val="nil"/>
              <w:bottom w:val="single" w:sz="4" w:space="0" w:color="auto"/>
            </w:tcBorders>
            <w:vAlign w:val="center"/>
          </w:tcPr>
          <w:p w14:paraId="55DBA294" w14:textId="77777777" w:rsidR="007C6E78" w:rsidRPr="00C134E1" w:rsidRDefault="007C6E78" w:rsidP="007C6E78">
            <w:pPr>
              <w:jc w:val="center"/>
              <w:rPr>
                <w:rFonts w:ascii="Times New Roman" w:hAnsi="Times New Roman" w:cs="Times New Roman"/>
                <w:sz w:val="6"/>
                <w:szCs w:val="6"/>
              </w:rPr>
            </w:pPr>
          </w:p>
        </w:tc>
        <w:tc>
          <w:tcPr>
            <w:tcW w:w="719" w:type="dxa"/>
            <w:tcBorders>
              <w:top w:val="nil"/>
              <w:bottom w:val="single" w:sz="4" w:space="0" w:color="auto"/>
            </w:tcBorders>
            <w:vAlign w:val="center"/>
          </w:tcPr>
          <w:p w14:paraId="65F8DBD5" w14:textId="77777777" w:rsidR="007C6E78" w:rsidRPr="00C134E1" w:rsidRDefault="007C6E78" w:rsidP="007C6E78">
            <w:pPr>
              <w:jc w:val="center"/>
              <w:rPr>
                <w:rFonts w:ascii="Times New Roman" w:hAnsi="Times New Roman" w:cs="Times New Roman"/>
                <w:sz w:val="6"/>
                <w:szCs w:val="6"/>
              </w:rPr>
            </w:pPr>
          </w:p>
        </w:tc>
        <w:tc>
          <w:tcPr>
            <w:tcW w:w="732" w:type="dxa"/>
            <w:tcBorders>
              <w:top w:val="nil"/>
              <w:bottom w:val="single" w:sz="4" w:space="0" w:color="auto"/>
            </w:tcBorders>
            <w:vAlign w:val="center"/>
          </w:tcPr>
          <w:p w14:paraId="171672F1" w14:textId="77777777" w:rsidR="007C6E78" w:rsidRPr="00C134E1" w:rsidRDefault="007C6E78" w:rsidP="007C6E78">
            <w:pPr>
              <w:jc w:val="center"/>
              <w:rPr>
                <w:rFonts w:ascii="Times New Roman" w:hAnsi="Times New Roman" w:cs="Times New Roman"/>
                <w:sz w:val="6"/>
                <w:szCs w:val="6"/>
              </w:rPr>
            </w:pPr>
          </w:p>
        </w:tc>
        <w:tc>
          <w:tcPr>
            <w:tcW w:w="1021" w:type="dxa"/>
            <w:tcBorders>
              <w:top w:val="nil"/>
              <w:bottom w:val="single" w:sz="4" w:space="0" w:color="auto"/>
              <w:right w:val="single" w:sz="4" w:space="0" w:color="auto"/>
            </w:tcBorders>
            <w:vAlign w:val="center"/>
          </w:tcPr>
          <w:p w14:paraId="534444FE" w14:textId="77777777" w:rsidR="007C6E78" w:rsidRPr="00C134E1" w:rsidRDefault="007C6E78" w:rsidP="007C6E78">
            <w:pPr>
              <w:jc w:val="center"/>
              <w:rPr>
                <w:rFonts w:ascii="Times New Roman" w:hAnsi="Times New Roman" w:cs="Times New Roman"/>
                <w:sz w:val="6"/>
                <w:szCs w:val="6"/>
              </w:rPr>
            </w:pPr>
          </w:p>
        </w:tc>
      </w:tr>
    </w:tbl>
    <w:p w14:paraId="0DC913D5" w14:textId="77777777" w:rsidR="007C6E78" w:rsidRPr="00E0069F" w:rsidRDefault="007C6E78" w:rsidP="007C6E78">
      <w:pPr>
        <w:spacing w:after="0"/>
        <w:ind w:left="-360"/>
        <w:rPr>
          <w:rFonts w:ascii="Times New Roman" w:hAnsi="Times New Roman" w:cs="Times New Roman"/>
          <w:b/>
          <w:sz w:val="17"/>
          <w:szCs w:val="17"/>
        </w:rPr>
      </w:pPr>
      <w:r w:rsidRPr="00E0069F">
        <w:rPr>
          <w:rFonts w:ascii="Times New Roman" w:hAnsi="Times New Roman" w:cs="Times New Roman"/>
          <w:b/>
          <w:sz w:val="17"/>
          <w:szCs w:val="17"/>
        </w:rPr>
        <w:t>Footnotes:</w:t>
      </w:r>
    </w:p>
    <w:p w14:paraId="760A85B4" w14:textId="1BC410CC" w:rsidR="007C6E78" w:rsidRPr="00E0069F" w:rsidRDefault="007C6E78" w:rsidP="007C6E78">
      <w:pPr>
        <w:spacing w:after="0"/>
        <w:ind w:left="-360"/>
        <w:rPr>
          <w:rFonts w:ascii="Times New Roman" w:hAnsi="Times New Roman" w:cs="Times New Roman"/>
          <w:sz w:val="17"/>
          <w:szCs w:val="17"/>
        </w:rPr>
      </w:pPr>
      <w:r w:rsidRPr="00E0069F">
        <w:rPr>
          <w:rFonts w:ascii="Times New Roman" w:hAnsi="Times New Roman" w:cs="Times New Roman"/>
          <w:sz w:val="17"/>
          <w:szCs w:val="17"/>
        </w:rPr>
        <w:t xml:space="preserve">¹For </w:t>
      </w:r>
      <w:r w:rsidR="002F01F7">
        <w:rPr>
          <w:rFonts w:ascii="Times New Roman" w:hAnsi="Times New Roman" w:cs="Times New Roman"/>
          <w:sz w:val="17"/>
          <w:szCs w:val="17"/>
        </w:rPr>
        <w:t xml:space="preserve">more </w:t>
      </w:r>
      <w:r w:rsidRPr="00E0069F">
        <w:rPr>
          <w:rFonts w:ascii="Times New Roman" w:hAnsi="Times New Roman" w:cs="Times New Roman"/>
          <w:sz w:val="17"/>
          <w:szCs w:val="17"/>
        </w:rPr>
        <w:t>information, see the Introduction, Survey Methodology section, in the</w:t>
      </w:r>
      <w:r w:rsidRPr="00464F62">
        <w:rPr>
          <w:rFonts w:ascii="Times New Roman" w:hAnsi="Times New Roman" w:cs="Times New Roman"/>
          <w:sz w:val="17"/>
          <w:szCs w:val="17"/>
        </w:rPr>
        <w:t xml:space="preserve"> Quarterly Financial Report for Manufacturing,</w:t>
      </w:r>
      <w:r w:rsidR="00464F62">
        <w:rPr>
          <w:rFonts w:ascii="Times New Roman" w:hAnsi="Times New Roman" w:cs="Times New Roman"/>
          <w:sz w:val="17"/>
          <w:szCs w:val="17"/>
        </w:rPr>
        <w:t xml:space="preserve"> </w:t>
      </w:r>
      <w:r w:rsidRPr="00464F62">
        <w:rPr>
          <w:rFonts w:ascii="Times New Roman" w:hAnsi="Times New Roman" w:cs="Times New Roman"/>
          <w:sz w:val="17"/>
          <w:szCs w:val="17"/>
        </w:rPr>
        <w:t>Mining, Trade, and Selected Service Industries,</w:t>
      </w:r>
      <w:r w:rsidRPr="00E0069F">
        <w:rPr>
          <w:rFonts w:ascii="Times New Roman" w:hAnsi="Times New Roman" w:cs="Times New Roman"/>
          <w:sz w:val="17"/>
          <w:szCs w:val="17"/>
        </w:rPr>
        <w:t xml:space="preserve"> or at</w:t>
      </w:r>
      <w:r w:rsidR="00A15605">
        <w:rPr>
          <w:rFonts w:ascii="Times New Roman" w:hAnsi="Times New Roman" w:cs="Times New Roman"/>
          <w:sz w:val="17"/>
          <w:szCs w:val="17"/>
        </w:rPr>
        <w:t xml:space="preserve"> the QFR internet website &lt;</w:t>
      </w:r>
      <w:r w:rsidRPr="00E0069F">
        <w:rPr>
          <w:rFonts w:ascii="Times New Roman" w:hAnsi="Times New Roman" w:cs="Times New Roman"/>
          <w:sz w:val="17"/>
          <w:szCs w:val="17"/>
        </w:rPr>
        <w:t>www.census.gov/econ/qfr/collection.html</w:t>
      </w:r>
      <w:r w:rsidR="00A15605">
        <w:rPr>
          <w:rFonts w:ascii="Times New Roman" w:hAnsi="Times New Roman" w:cs="Times New Roman"/>
          <w:sz w:val="17"/>
          <w:szCs w:val="17"/>
        </w:rPr>
        <w:t>&gt;</w:t>
      </w:r>
      <w:r w:rsidRPr="00E0069F">
        <w:rPr>
          <w:rFonts w:ascii="Times New Roman" w:hAnsi="Times New Roman" w:cs="Times New Roman"/>
          <w:sz w:val="17"/>
          <w:szCs w:val="17"/>
        </w:rPr>
        <w:t>.</w:t>
      </w:r>
    </w:p>
    <w:p w14:paraId="0CB8347E" w14:textId="77777777" w:rsidR="007C6E78" w:rsidRDefault="007C6E78" w:rsidP="005B0EA1">
      <w:pPr>
        <w:spacing w:after="0"/>
        <w:ind w:left="-360"/>
        <w:rPr>
          <w:rFonts w:ascii="Times New Roman" w:hAnsi="Times New Roman" w:cs="Times New Roman"/>
          <w:sz w:val="17"/>
          <w:szCs w:val="17"/>
        </w:rPr>
      </w:pPr>
      <w:r w:rsidRPr="00E0069F">
        <w:rPr>
          <w:rFonts w:ascii="Times New Roman" w:hAnsi="Times New Roman" w:cs="Times New Roman"/>
          <w:sz w:val="17"/>
          <w:szCs w:val="17"/>
        </w:rPr>
        <w:t>²Imputation Rate = 100% - TQRR.</w:t>
      </w:r>
    </w:p>
    <w:p w14:paraId="1B65E6BE" w14:textId="07DE4C9D" w:rsidR="005B0EA1" w:rsidRPr="00E0069F" w:rsidRDefault="005B0EA1" w:rsidP="00C21470">
      <w:pPr>
        <w:spacing w:after="120"/>
        <w:ind w:left="-360"/>
        <w:rPr>
          <w:rFonts w:ascii="Times New Roman" w:hAnsi="Times New Roman" w:cs="Times New Roman"/>
          <w:sz w:val="17"/>
          <w:szCs w:val="17"/>
        </w:rPr>
      </w:pPr>
      <w:r w:rsidRPr="005B0EA1">
        <w:rPr>
          <w:rFonts w:ascii="Times New Roman" w:hAnsi="Times New Roman" w:cs="Times New Roman"/>
          <w:sz w:val="17"/>
          <w:szCs w:val="17"/>
        </w:rPr>
        <w:t xml:space="preserve">Source: U.S. Census Bureau, </w:t>
      </w:r>
      <w:r w:rsidR="007B3180">
        <w:rPr>
          <w:rFonts w:ascii="Times New Roman" w:hAnsi="Times New Roman" w:cs="Times New Roman"/>
          <w:sz w:val="17"/>
          <w:szCs w:val="17"/>
        </w:rPr>
        <w:t>Quarterly Financial Report, Dec</w:t>
      </w:r>
      <w:r w:rsidRPr="005B0EA1">
        <w:rPr>
          <w:rFonts w:ascii="Times New Roman" w:hAnsi="Times New Roman" w:cs="Times New Roman"/>
          <w:sz w:val="17"/>
          <w:szCs w:val="17"/>
        </w:rPr>
        <w:t xml:space="preserve">ember </w:t>
      </w:r>
      <w:r w:rsidR="007B3180">
        <w:rPr>
          <w:rFonts w:ascii="Times New Roman" w:hAnsi="Times New Roman" w:cs="Times New Roman"/>
          <w:sz w:val="17"/>
          <w:szCs w:val="17"/>
        </w:rPr>
        <w:t>5</w:t>
      </w:r>
      <w:r w:rsidRPr="005B0EA1">
        <w:rPr>
          <w:rFonts w:ascii="Times New Roman" w:hAnsi="Times New Roman" w:cs="Times New Roman"/>
          <w:sz w:val="17"/>
          <w:szCs w:val="17"/>
        </w:rPr>
        <w:t>, 2016.  Explanations of confidence intervals and sampling variability can be found on our website at &lt;www.census.gov/econ/qfr/documents/QFR_Methodology.pdf&gt;.</w:t>
      </w:r>
    </w:p>
    <w:tbl>
      <w:tblPr>
        <w:tblStyle w:val="TableGrid"/>
        <w:tblW w:w="10839" w:type="dxa"/>
        <w:jc w:val="center"/>
        <w:tblInd w:w="591" w:type="dxa"/>
        <w:tblLook w:val="04A0" w:firstRow="1" w:lastRow="0" w:firstColumn="1" w:lastColumn="0" w:noHBand="0" w:noVBand="1"/>
      </w:tblPr>
      <w:tblGrid>
        <w:gridCol w:w="4917"/>
        <w:gridCol w:w="5922"/>
      </w:tblGrid>
      <w:tr w:rsidR="007C6E78" w:rsidRPr="00624CC1" w14:paraId="64742F03" w14:textId="77777777" w:rsidTr="007C6E78">
        <w:trPr>
          <w:trHeight w:val="557"/>
          <w:jc w:val="center"/>
        </w:trPr>
        <w:tc>
          <w:tcPr>
            <w:tcW w:w="10839" w:type="dxa"/>
            <w:gridSpan w:val="2"/>
            <w:vAlign w:val="center"/>
          </w:tcPr>
          <w:p w14:paraId="6DDD5078" w14:textId="57074342" w:rsidR="007C6E78" w:rsidRPr="00624CC1" w:rsidRDefault="002B38AE" w:rsidP="007C6E78">
            <w:pPr>
              <w:tabs>
                <w:tab w:val="left" w:pos="3456"/>
              </w:tabs>
              <w:jc w:val="center"/>
              <w:rPr>
                <w:rFonts w:ascii="Times New Roman" w:hAnsi="Times New Roman" w:cs="Times New Roman"/>
                <w:sz w:val="24"/>
                <w:szCs w:val="24"/>
              </w:rPr>
            </w:pPr>
            <w:r>
              <w:rPr>
                <w:rFonts w:ascii="Times New Roman" w:hAnsi="Times New Roman" w:cs="Times New Roman"/>
                <w:sz w:val="24"/>
                <w:szCs w:val="24"/>
              </w:rPr>
              <w:t>U.S. Retail Trade Corporations</w:t>
            </w:r>
          </w:p>
          <w:p w14:paraId="5E6504C0" w14:textId="77777777" w:rsidR="007C6E78" w:rsidRPr="00624CC1" w:rsidRDefault="007C6E78" w:rsidP="007C6E78">
            <w:pPr>
              <w:tabs>
                <w:tab w:val="left" w:pos="3456"/>
              </w:tabs>
              <w:jc w:val="center"/>
              <w:rPr>
                <w:rFonts w:ascii="Times New Roman" w:hAnsi="Times New Roman" w:cs="Times New Roman"/>
                <w:sz w:val="24"/>
                <w:szCs w:val="24"/>
              </w:rPr>
            </w:pPr>
            <w:r w:rsidRPr="00624CC1">
              <w:rPr>
                <w:rFonts w:ascii="Times New Roman" w:hAnsi="Times New Roman" w:cs="Times New Roman"/>
                <w:sz w:val="24"/>
                <w:szCs w:val="24"/>
              </w:rPr>
              <w:t>Schedule of Release Dates for Calendar Year 2016</w:t>
            </w:r>
          </w:p>
        </w:tc>
      </w:tr>
      <w:tr w:rsidR="007C6E78" w14:paraId="6C4F3FC2" w14:textId="77777777" w:rsidTr="007C6E78">
        <w:trPr>
          <w:jc w:val="center"/>
        </w:trPr>
        <w:tc>
          <w:tcPr>
            <w:tcW w:w="4917" w:type="dxa"/>
          </w:tcPr>
          <w:p w14:paraId="583C6A31" w14:textId="77777777" w:rsidR="007C6E78" w:rsidRPr="006C04B5" w:rsidRDefault="007C6E78" w:rsidP="007C6E78">
            <w:pPr>
              <w:jc w:val="center"/>
              <w:rPr>
                <w:rFonts w:ascii="Times New Roman" w:hAnsi="Times New Roman" w:cs="Times New Roman"/>
                <w:b/>
                <w:sz w:val="24"/>
                <w:szCs w:val="24"/>
              </w:rPr>
            </w:pPr>
            <w:r w:rsidRPr="006C04B5">
              <w:rPr>
                <w:rFonts w:ascii="Times New Roman" w:hAnsi="Times New Roman" w:cs="Times New Roman"/>
              </w:rPr>
              <w:t>Fourth Quarter 2015</w:t>
            </w:r>
          </w:p>
        </w:tc>
        <w:tc>
          <w:tcPr>
            <w:tcW w:w="5922" w:type="dxa"/>
          </w:tcPr>
          <w:p w14:paraId="20C2CD6B" w14:textId="77777777" w:rsidR="007C6E78" w:rsidRPr="006C04B5" w:rsidRDefault="007C6E78" w:rsidP="007C6E78">
            <w:pPr>
              <w:jc w:val="center"/>
              <w:rPr>
                <w:rFonts w:ascii="Times New Roman" w:hAnsi="Times New Roman" w:cs="Times New Roman"/>
                <w:b/>
                <w:sz w:val="24"/>
                <w:szCs w:val="24"/>
              </w:rPr>
            </w:pPr>
            <w:r w:rsidRPr="006C04B5">
              <w:rPr>
                <w:rFonts w:ascii="Times New Roman" w:hAnsi="Times New Roman" w:cs="Times New Roman"/>
              </w:rPr>
              <w:t>March 21, 2016</w:t>
            </w:r>
          </w:p>
        </w:tc>
      </w:tr>
      <w:tr w:rsidR="007C6E78" w14:paraId="44343A65" w14:textId="77777777" w:rsidTr="007C6E78">
        <w:trPr>
          <w:jc w:val="center"/>
        </w:trPr>
        <w:tc>
          <w:tcPr>
            <w:tcW w:w="4917" w:type="dxa"/>
          </w:tcPr>
          <w:p w14:paraId="374DF707" w14:textId="77777777" w:rsidR="007C6E78" w:rsidRPr="006C04B5" w:rsidRDefault="007C6E78" w:rsidP="007C6E78">
            <w:pPr>
              <w:jc w:val="center"/>
              <w:rPr>
                <w:rFonts w:ascii="Times New Roman" w:hAnsi="Times New Roman" w:cs="Times New Roman"/>
                <w:b/>
                <w:sz w:val="24"/>
                <w:szCs w:val="24"/>
              </w:rPr>
            </w:pPr>
            <w:r w:rsidRPr="006C04B5">
              <w:rPr>
                <w:rFonts w:ascii="Times New Roman" w:hAnsi="Times New Roman" w:cs="Times New Roman"/>
              </w:rPr>
              <w:t>First Quarter 2016</w:t>
            </w:r>
          </w:p>
        </w:tc>
        <w:tc>
          <w:tcPr>
            <w:tcW w:w="5922" w:type="dxa"/>
          </w:tcPr>
          <w:p w14:paraId="450AA3A1" w14:textId="77777777" w:rsidR="007C6E78" w:rsidRPr="006C04B5" w:rsidRDefault="007C6E78" w:rsidP="007C6E78">
            <w:pPr>
              <w:jc w:val="center"/>
              <w:rPr>
                <w:rFonts w:ascii="Times New Roman" w:hAnsi="Times New Roman" w:cs="Times New Roman"/>
                <w:b/>
                <w:sz w:val="24"/>
                <w:szCs w:val="24"/>
              </w:rPr>
            </w:pPr>
            <w:r w:rsidRPr="006C04B5">
              <w:rPr>
                <w:rFonts w:ascii="Times New Roman" w:hAnsi="Times New Roman" w:cs="Times New Roman"/>
              </w:rPr>
              <w:t>June 6, 2016</w:t>
            </w:r>
          </w:p>
        </w:tc>
      </w:tr>
      <w:tr w:rsidR="007C6E78" w14:paraId="1909BAC7" w14:textId="77777777" w:rsidTr="007C6E78">
        <w:trPr>
          <w:jc w:val="center"/>
        </w:trPr>
        <w:tc>
          <w:tcPr>
            <w:tcW w:w="4917" w:type="dxa"/>
          </w:tcPr>
          <w:p w14:paraId="22B1058B" w14:textId="77777777" w:rsidR="007C6E78" w:rsidRPr="006C04B5" w:rsidRDefault="007C6E78" w:rsidP="007C6E78">
            <w:pPr>
              <w:jc w:val="center"/>
              <w:rPr>
                <w:rFonts w:ascii="Times New Roman" w:hAnsi="Times New Roman" w:cs="Times New Roman"/>
                <w:b/>
                <w:sz w:val="24"/>
                <w:szCs w:val="24"/>
              </w:rPr>
            </w:pPr>
            <w:r w:rsidRPr="006C04B5">
              <w:rPr>
                <w:rFonts w:ascii="Times New Roman" w:hAnsi="Times New Roman" w:cs="Times New Roman"/>
              </w:rPr>
              <w:t>Second Quarter 2016</w:t>
            </w:r>
          </w:p>
        </w:tc>
        <w:tc>
          <w:tcPr>
            <w:tcW w:w="5922" w:type="dxa"/>
          </w:tcPr>
          <w:p w14:paraId="7C2E5898" w14:textId="77777777" w:rsidR="007C6E78" w:rsidRPr="006C04B5" w:rsidRDefault="007C6E78" w:rsidP="007C6E78">
            <w:pPr>
              <w:jc w:val="center"/>
              <w:rPr>
                <w:rFonts w:ascii="Times New Roman" w:hAnsi="Times New Roman" w:cs="Times New Roman"/>
                <w:b/>
                <w:sz w:val="24"/>
                <w:szCs w:val="24"/>
              </w:rPr>
            </w:pPr>
            <w:r w:rsidRPr="006C04B5">
              <w:rPr>
                <w:rFonts w:ascii="Times New Roman" w:hAnsi="Times New Roman" w:cs="Times New Roman"/>
              </w:rPr>
              <w:t>September 6, 2016</w:t>
            </w:r>
          </w:p>
        </w:tc>
      </w:tr>
      <w:tr w:rsidR="007C6E78" w14:paraId="68B95607" w14:textId="77777777" w:rsidTr="007C6E78">
        <w:trPr>
          <w:jc w:val="center"/>
        </w:trPr>
        <w:tc>
          <w:tcPr>
            <w:tcW w:w="4917" w:type="dxa"/>
          </w:tcPr>
          <w:p w14:paraId="254F2C00" w14:textId="77777777" w:rsidR="007C6E78" w:rsidRPr="006C04B5" w:rsidRDefault="007C6E78" w:rsidP="007C6E78">
            <w:pPr>
              <w:jc w:val="center"/>
              <w:rPr>
                <w:rFonts w:ascii="Times New Roman" w:hAnsi="Times New Roman" w:cs="Times New Roman"/>
                <w:b/>
                <w:sz w:val="24"/>
                <w:szCs w:val="24"/>
              </w:rPr>
            </w:pPr>
            <w:r w:rsidRPr="006C04B5">
              <w:rPr>
                <w:rFonts w:ascii="Times New Roman" w:hAnsi="Times New Roman" w:cs="Times New Roman"/>
              </w:rPr>
              <w:t>Third Quarter 2016</w:t>
            </w:r>
          </w:p>
        </w:tc>
        <w:tc>
          <w:tcPr>
            <w:tcW w:w="5922" w:type="dxa"/>
          </w:tcPr>
          <w:p w14:paraId="6957CF51" w14:textId="77777777" w:rsidR="007C6E78" w:rsidRPr="006C04B5" w:rsidRDefault="007C6E78" w:rsidP="007C6E78">
            <w:pPr>
              <w:jc w:val="center"/>
              <w:rPr>
                <w:rFonts w:ascii="Times New Roman" w:hAnsi="Times New Roman" w:cs="Times New Roman"/>
                <w:b/>
                <w:sz w:val="24"/>
                <w:szCs w:val="24"/>
              </w:rPr>
            </w:pPr>
            <w:r w:rsidRPr="006C04B5">
              <w:rPr>
                <w:rFonts w:ascii="Times New Roman" w:hAnsi="Times New Roman" w:cs="Times New Roman"/>
              </w:rPr>
              <w:t>December 5, 2016</w:t>
            </w:r>
          </w:p>
        </w:tc>
      </w:tr>
    </w:tbl>
    <w:p w14:paraId="48971D4E" w14:textId="77777777" w:rsidR="000C4F76" w:rsidRDefault="000C4F76" w:rsidP="000C4F76">
      <w:pPr>
        <w:spacing w:after="0"/>
        <w:ind w:left="-360"/>
        <w:rPr>
          <w:rFonts w:ascii="Times New Roman" w:hAnsi="Times New Roman" w:cs="Times New Roman"/>
          <w:b/>
          <w:sz w:val="24"/>
          <w:szCs w:val="24"/>
        </w:rPr>
      </w:pPr>
    </w:p>
    <w:p w14:paraId="06A44ABD" w14:textId="77777777" w:rsidR="002606F2" w:rsidRDefault="002606F2" w:rsidP="000C4F76">
      <w:pPr>
        <w:spacing w:after="0"/>
        <w:ind w:left="-360"/>
        <w:rPr>
          <w:rFonts w:ascii="Times New Roman" w:hAnsi="Times New Roman" w:cs="Times New Roman"/>
          <w:b/>
          <w:sz w:val="24"/>
          <w:szCs w:val="24"/>
        </w:rPr>
      </w:pPr>
      <w:r>
        <w:rPr>
          <w:rFonts w:ascii="Times New Roman" w:hAnsi="Times New Roman" w:cs="Times New Roman"/>
          <w:b/>
          <w:sz w:val="24"/>
          <w:szCs w:val="24"/>
        </w:rPr>
        <w:t>America’s Economy Mobile App</w:t>
      </w:r>
    </w:p>
    <w:p w14:paraId="67D3F8FE" w14:textId="4D690B78" w:rsidR="002606F2" w:rsidRPr="005B61C2" w:rsidRDefault="002606F2" w:rsidP="002606F2">
      <w:pPr>
        <w:spacing w:after="0"/>
        <w:ind w:left="-360"/>
        <w:rPr>
          <w:rFonts w:ascii="Times New Roman" w:hAnsi="Times New Roman" w:cs="Times New Roman"/>
          <w:sz w:val="24"/>
          <w:szCs w:val="24"/>
        </w:rPr>
      </w:pPr>
      <w:r w:rsidRPr="005B61C2">
        <w:rPr>
          <w:rFonts w:ascii="Times New Roman" w:hAnsi="Times New Roman" w:cs="Times New Roman"/>
          <w:sz w:val="24"/>
          <w:szCs w:val="24"/>
        </w:rPr>
        <w:t xml:space="preserve">The America’s Economy app provides real-time updates for 19 key economic indicators released from the Census Bureau, Bureau of Labor Statistics, and Bureau of Economic Analysis. </w:t>
      </w:r>
    </w:p>
    <w:p w14:paraId="30D1A9BE" w14:textId="00C4E890" w:rsidR="00A63B26" w:rsidRPr="00E53A3F" w:rsidRDefault="00A63B26" w:rsidP="00A63B26">
      <w:pPr>
        <w:spacing w:after="120"/>
        <w:ind w:left="-360"/>
        <w:rPr>
          <w:rFonts w:ascii="Times New Roman" w:hAnsi="Times New Roman" w:cs="Times New Roman"/>
          <w:sz w:val="24"/>
          <w:szCs w:val="24"/>
        </w:rPr>
      </w:pPr>
      <w:r w:rsidRPr="00E53A3F">
        <w:rPr>
          <w:rFonts w:ascii="Times New Roman" w:hAnsi="Times New Roman" w:cs="Times New Roman"/>
          <w:sz w:val="24"/>
          <w:szCs w:val="24"/>
        </w:rPr>
        <w:t>&lt;</w:t>
      </w:r>
      <w:hyperlink r:id="rId25" w:history="1">
        <w:r w:rsidRPr="00E53A3F">
          <w:rPr>
            <w:rStyle w:val="Hyperlink"/>
            <w:rFonts w:ascii="Times New Roman" w:hAnsi="Times New Roman" w:cs="Times New Roman"/>
            <w:sz w:val="24"/>
            <w:szCs w:val="24"/>
          </w:rPr>
          <w:t>www.census.gov/mobile/economy</w:t>
        </w:r>
      </w:hyperlink>
      <w:r w:rsidRPr="00E53A3F">
        <w:rPr>
          <w:rFonts w:ascii="Times New Roman" w:hAnsi="Times New Roman" w:cs="Times New Roman"/>
          <w:color w:val="4F81BD" w:themeColor="accent1"/>
          <w:sz w:val="24"/>
          <w:szCs w:val="24"/>
          <w:u w:val="single"/>
        </w:rPr>
        <w:t>/</w:t>
      </w:r>
      <w:r w:rsidRPr="00E53A3F">
        <w:rPr>
          <w:rFonts w:ascii="Times New Roman" w:hAnsi="Times New Roman" w:cs="Times New Roman"/>
          <w:sz w:val="24"/>
          <w:szCs w:val="24"/>
        </w:rPr>
        <w:t>&gt;</w:t>
      </w:r>
    </w:p>
    <w:p w14:paraId="0D31D281" w14:textId="77777777" w:rsidR="00593788" w:rsidRDefault="00593788" w:rsidP="002606F2">
      <w:pPr>
        <w:spacing w:after="0"/>
        <w:ind w:left="-360"/>
        <w:rPr>
          <w:rFonts w:ascii="Times New Roman" w:hAnsi="Times New Roman" w:cs="Times New Roman"/>
          <w:b/>
          <w:sz w:val="24"/>
          <w:szCs w:val="24"/>
        </w:rPr>
      </w:pPr>
    </w:p>
    <w:p w14:paraId="1A97B8C2" w14:textId="77777777" w:rsidR="002606F2" w:rsidRDefault="002606F2" w:rsidP="002606F2">
      <w:pPr>
        <w:spacing w:after="0"/>
        <w:ind w:left="-360"/>
        <w:rPr>
          <w:rFonts w:ascii="Times New Roman" w:hAnsi="Times New Roman" w:cs="Times New Roman"/>
          <w:b/>
          <w:sz w:val="24"/>
          <w:szCs w:val="24"/>
        </w:rPr>
      </w:pPr>
      <w:r w:rsidRPr="005B61C2">
        <w:rPr>
          <w:rFonts w:ascii="Times New Roman" w:hAnsi="Times New Roman" w:cs="Times New Roman"/>
          <w:b/>
          <w:sz w:val="24"/>
          <w:szCs w:val="24"/>
        </w:rPr>
        <w:lastRenderedPageBreak/>
        <w:t>API</w:t>
      </w:r>
    </w:p>
    <w:p w14:paraId="499799E8" w14:textId="70478B85" w:rsidR="002606F2" w:rsidRPr="005B61C2" w:rsidRDefault="002606F2" w:rsidP="002606F2">
      <w:pPr>
        <w:spacing w:after="0"/>
        <w:ind w:left="-360"/>
        <w:rPr>
          <w:rFonts w:ascii="Times New Roman" w:hAnsi="Times New Roman" w:cs="Times New Roman"/>
          <w:sz w:val="24"/>
          <w:szCs w:val="24"/>
        </w:rPr>
      </w:pPr>
      <w:r w:rsidRPr="005B61C2">
        <w:rPr>
          <w:rFonts w:ascii="Times New Roman" w:hAnsi="Times New Roman" w:cs="Times New Roman"/>
          <w:sz w:val="24"/>
          <w:szCs w:val="24"/>
        </w:rPr>
        <w:t xml:space="preserve">The Census </w:t>
      </w:r>
      <w:r w:rsidRPr="003E238D">
        <w:rPr>
          <w:rFonts w:ascii="Times New Roman" w:hAnsi="Times New Roman" w:cs="Times New Roman"/>
          <w:sz w:val="24"/>
          <w:szCs w:val="24"/>
        </w:rPr>
        <w:t>Bureau’s</w:t>
      </w:r>
      <w:r>
        <w:rPr>
          <w:rFonts w:ascii="Times New Roman" w:hAnsi="Times New Roman" w:cs="Times New Roman"/>
          <w:b/>
          <w:sz w:val="24"/>
          <w:szCs w:val="24"/>
        </w:rPr>
        <w:t xml:space="preserve"> </w:t>
      </w:r>
      <w:r w:rsidRPr="005B61C2">
        <w:rPr>
          <w:rFonts w:ascii="Times New Roman" w:hAnsi="Times New Roman" w:cs="Times New Roman"/>
          <w:sz w:val="24"/>
          <w:szCs w:val="24"/>
        </w:rPr>
        <w:t>application programming interface lets developers create custom apps to reach new users and makes key demographic, socio-economic and housing statistics more accessible than ever before.</w:t>
      </w:r>
    </w:p>
    <w:p w14:paraId="1418B527" w14:textId="04B55149" w:rsidR="006E44F0" w:rsidRDefault="006E44F0" w:rsidP="006E44F0">
      <w:pPr>
        <w:spacing w:after="120"/>
        <w:ind w:left="-360"/>
        <w:rPr>
          <w:rFonts w:ascii="Times New Roman" w:hAnsi="Times New Roman" w:cs="Times New Roman"/>
          <w:sz w:val="24"/>
          <w:szCs w:val="24"/>
        </w:rPr>
      </w:pPr>
      <w:r w:rsidRPr="00E53A3F">
        <w:rPr>
          <w:rFonts w:ascii="Times New Roman" w:hAnsi="Times New Roman" w:cs="Times New Roman"/>
          <w:sz w:val="24"/>
          <w:szCs w:val="24"/>
        </w:rPr>
        <w:t>&lt;</w:t>
      </w:r>
      <w:hyperlink r:id="rId26" w:history="1">
        <w:r w:rsidRPr="00E53A3F">
          <w:rPr>
            <w:rStyle w:val="Hyperlink"/>
            <w:rFonts w:ascii="Times New Roman" w:hAnsi="Times New Roman" w:cs="Times New Roman"/>
            <w:sz w:val="24"/>
            <w:szCs w:val="24"/>
          </w:rPr>
          <w:t>www.census.gov/developers/</w:t>
        </w:r>
      </w:hyperlink>
      <w:r w:rsidRPr="00E53A3F">
        <w:rPr>
          <w:rFonts w:ascii="Times New Roman" w:hAnsi="Times New Roman" w:cs="Times New Roman"/>
          <w:sz w:val="24"/>
          <w:szCs w:val="24"/>
        </w:rPr>
        <w:t>&gt;</w:t>
      </w:r>
    </w:p>
    <w:p w14:paraId="67AE5F5B" w14:textId="12EA6812" w:rsidR="002606F2" w:rsidRPr="003E238D" w:rsidRDefault="002606F2" w:rsidP="002606F2">
      <w:pPr>
        <w:spacing w:after="120"/>
        <w:ind w:left="-360"/>
        <w:jc w:val="center"/>
        <w:rPr>
          <w:rFonts w:ascii="Times New Roman" w:hAnsi="Times New Roman" w:cs="Times New Roman"/>
          <w:sz w:val="24"/>
          <w:szCs w:val="24"/>
        </w:rPr>
      </w:pPr>
      <w:r w:rsidRPr="00666964">
        <w:rPr>
          <w:rFonts w:cs="Times New Roman"/>
          <w:sz w:val="24"/>
          <w:szCs w:val="24"/>
        </w:rPr>
        <w:t>-X-</w:t>
      </w:r>
    </w:p>
    <w:p w14:paraId="67ECE748" w14:textId="0FE839D1" w:rsidR="005C2B82" w:rsidRDefault="005C2B82" w:rsidP="005C2B82">
      <w:pPr>
        <w:ind w:left="-360"/>
        <w:rPr>
          <w:rFonts w:ascii="Times New Roman" w:hAnsi="Times New Roman" w:cs="Times New Roman"/>
          <w:sz w:val="16"/>
          <w:szCs w:val="16"/>
        </w:rPr>
      </w:pPr>
    </w:p>
    <w:p w14:paraId="0D6213F5" w14:textId="77777777" w:rsidR="002606F2" w:rsidRPr="007C6E78" w:rsidRDefault="002606F2" w:rsidP="00815200">
      <w:pPr>
        <w:ind w:left="-360"/>
        <w:rPr>
          <w:rFonts w:cs="Times New Roman"/>
          <w:sz w:val="24"/>
          <w:szCs w:val="24"/>
        </w:rPr>
      </w:pPr>
    </w:p>
    <w:sectPr w:rsidR="002606F2" w:rsidRPr="007C6E78" w:rsidSect="00557023">
      <w:type w:val="continuous"/>
      <w:pgSz w:w="12240" w:h="15840"/>
      <w:pgMar w:top="1440" w:right="1080" w:bottom="540" w:left="108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D5DE6E" w14:textId="77777777" w:rsidR="00A15605" w:rsidRDefault="00A15605" w:rsidP="0023449C">
      <w:pPr>
        <w:spacing w:after="0" w:line="240" w:lineRule="auto"/>
      </w:pPr>
      <w:r>
        <w:separator/>
      </w:r>
    </w:p>
  </w:endnote>
  <w:endnote w:type="continuationSeparator" w:id="0">
    <w:p w14:paraId="1A125DE0" w14:textId="77777777" w:rsidR="00A15605" w:rsidRDefault="00A15605" w:rsidP="00234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68F3B" w14:textId="77777777" w:rsidR="00A15605" w:rsidRDefault="00A156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7"/>
      <w:gridCol w:w="3089"/>
    </w:tblGrid>
    <w:tr w:rsidR="00A15605" w:rsidRPr="00C551C0" w14:paraId="030FFFA9" w14:textId="77777777" w:rsidTr="006D715D">
      <w:trPr>
        <w:jc w:val="center"/>
      </w:trPr>
      <w:tc>
        <w:tcPr>
          <w:tcW w:w="3598" w:type="pct"/>
        </w:tcPr>
        <w:p w14:paraId="10D98AC4" w14:textId="77777777" w:rsidR="00A15605" w:rsidRPr="00463140" w:rsidRDefault="00A15605" w:rsidP="00EA406A">
          <w:pPr>
            <w:rPr>
              <w:rFonts w:cs="Times New Roman"/>
              <w:b/>
              <w:sz w:val="18"/>
              <w:szCs w:val="18"/>
            </w:rPr>
          </w:pPr>
        </w:p>
      </w:tc>
      <w:tc>
        <w:tcPr>
          <w:tcW w:w="1402" w:type="pct"/>
          <w:vAlign w:val="bottom"/>
        </w:tcPr>
        <w:p w14:paraId="04AD2FD0" w14:textId="77777777" w:rsidR="00A15605" w:rsidRPr="00C551C0" w:rsidRDefault="00A15605" w:rsidP="001F211F">
          <w:pPr>
            <w:jc w:val="right"/>
            <w:rPr>
              <w:rFonts w:cs="Times New Roman"/>
              <w:b/>
              <w:sz w:val="18"/>
              <w:szCs w:val="18"/>
            </w:rPr>
          </w:pPr>
        </w:p>
      </w:tc>
    </w:tr>
    <w:tr w:rsidR="00A15605" w:rsidRPr="00C551C0" w14:paraId="27125277" w14:textId="77777777" w:rsidTr="006D715D">
      <w:trPr>
        <w:jc w:val="center"/>
      </w:trPr>
      <w:tc>
        <w:tcPr>
          <w:tcW w:w="3598" w:type="pct"/>
        </w:tcPr>
        <w:p w14:paraId="57767C8C" w14:textId="4EF6C734" w:rsidR="00A15605" w:rsidRPr="00463140" w:rsidRDefault="00A15605" w:rsidP="00EA406A">
          <w:pPr>
            <w:rPr>
              <w:rFonts w:cs="Times New Roman"/>
              <w:b/>
              <w:sz w:val="18"/>
              <w:szCs w:val="18"/>
            </w:rPr>
          </w:pPr>
          <w:r w:rsidRPr="00463140">
            <w:rPr>
              <w:rFonts w:cs="Times New Roman"/>
              <w:b/>
              <w:sz w:val="18"/>
              <w:szCs w:val="18"/>
            </w:rPr>
            <w:t>Data Inquiries</w:t>
          </w:r>
        </w:p>
      </w:tc>
      <w:tc>
        <w:tcPr>
          <w:tcW w:w="1402" w:type="pct"/>
          <w:vAlign w:val="bottom"/>
        </w:tcPr>
        <w:p w14:paraId="7794EB43" w14:textId="1E070F68" w:rsidR="00A15605" w:rsidRPr="00C551C0" w:rsidRDefault="00A15605" w:rsidP="001F211F">
          <w:pPr>
            <w:jc w:val="right"/>
            <w:rPr>
              <w:rFonts w:cs="Times New Roman"/>
              <w:b/>
              <w:sz w:val="18"/>
              <w:szCs w:val="18"/>
            </w:rPr>
          </w:pPr>
          <w:r w:rsidRPr="00C551C0">
            <w:rPr>
              <w:rFonts w:cs="Times New Roman"/>
              <w:b/>
              <w:sz w:val="18"/>
              <w:szCs w:val="18"/>
            </w:rPr>
            <w:t>Media Inquiries</w:t>
          </w:r>
        </w:p>
      </w:tc>
    </w:tr>
    <w:tr w:rsidR="00A15605" w:rsidRPr="00E578D1" w14:paraId="7404CEC0" w14:textId="77777777" w:rsidTr="006D715D">
      <w:trPr>
        <w:jc w:val="center"/>
      </w:trPr>
      <w:tc>
        <w:tcPr>
          <w:tcW w:w="3598" w:type="pct"/>
        </w:tcPr>
        <w:p w14:paraId="04F27314" w14:textId="5E6F615F" w:rsidR="00A15605" w:rsidRPr="00E578D1" w:rsidRDefault="00A15605" w:rsidP="006E73C6">
          <w:pPr>
            <w:rPr>
              <w:sz w:val="18"/>
              <w:szCs w:val="18"/>
            </w:rPr>
          </w:pPr>
          <w:r>
            <w:rPr>
              <w:rFonts w:cs="Times New Roman"/>
              <w:sz w:val="18"/>
              <w:szCs w:val="18"/>
            </w:rPr>
            <w:t>Economic Indicators Division, Quarterly Financial Branch</w:t>
          </w:r>
        </w:p>
      </w:tc>
      <w:tc>
        <w:tcPr>
          <w:tcW w:w="1402" w:type="pct"/>
          <w:vAlign w:val="bottom"/>
        </w:tcPr>
        <w:p w14:paraId="6435838E" w14:textId="4BF19356" w:rsidR="00A15605" w:rsidRPr="00E578D1" w:rsidRDefault="00A15605" w:rsidP="001F211F">
          <w:pPr>
            <w:jc w:val="right"/>
            <w:rPr>
              <w:sz w:val="18"/>
              <w:szCs w:val="18"/>
            </w:rPr>
          </w:pPr>
          <w:r>
            <w:rPr>
              <w:rFonts w:cs="Times New Roman"/>
              <w:sz w:val="18"/>
              <w:szCs w:val="18"/>
            </w:rPr>
            <w:t>Public Information Office</w:t>
          </w:r>
        </w:p>
      </w:tc>
    </w:tr>
    <w:tr w:rsidR="00A15605" w:rsidRPr="00E578D1" w14:paraId="3F065A3B" w14:textId="77777777" w:rsidTr="006D715D">
      <w:trPr>
        <w:jc w:val="center"/>
      </w:trPr>
      <w:tc>
        <w:tcPr>
          <w:tcW w:w="3598" w:type="pct"/>
        </w:tcPr>
        <w:p w14:paraId="777C98BA" w14:textId="7EE142DA" w:rsidR="00A15605" w:rsidRPr="00EA406A" w:rsidRDefault="00A15605" w:rsidP="006E73C6">
          <w:pPr>
            <w:rPr>
              <w:rFonts w:cs="Times New Roman"/>
              <w:sz w:val="18"/>
              <w:szCs w:val="18"/>
            </w:rPr>
          </w:pPr>
          <w:r>
            <w:rPr>
              <w:rFonts w:cs="Times New Roman"/>
              <w:sz w:val="18"/>
              <w:szCs w:val="18"/>
            </w:rPr>
            <w:t xml:space="preserve">301-763-6600 </w:t>
          </w:r>
        </w:p>
      </w:tc>
      <w:tc>
        <w:tcPr>
          <w:tcW w:w="1402" w:type="pct"/>
          <w:vAlign w:val="bottom"/>
        </w:tcPr>
        <w:p w14:paraId="01FC16E1" w14:textId="187DB161" w:rsidR="00A15605" w:rsidRPr="00E578D1" w:rsidRDefault="00A15605" w:rsidP="001F211F">
          <w:pPr>
            <w:jc w:val="right"/>
            <w:rPr>
              <w:rFonts w:cs="Times New Roman"/>
              <w:smallCaps/>
              <w:sz w:val="18"/>
              <w:szCs w:val="18"/>
            </w:rPr>
          </w:pPr>
          <w:r>
            <w:rPr>
              <w:rFonts w:cs="Times New Roman"/>
              <w:sz w:val="18"/>
              <w:szCs w:val="18"/>
            </w:rPr>
            <w:t>301-763-3030</w:t>
          </w:r>
        </w:p>
      </w:tc>
    </w:tr>
    <w:tr w:rsidR="00A15605" w14:paraId="240E1050" w14:textId="77777777" w:rsidTr="006D715D">
      <w:trPr>
        <w:jc w:val="center"/>
      </w:trPr>
      <w:tc>
        <w:tcPr>
          <w:tcW w:w="3598" w:type="pct"/>
        </w:tcPr>
        <w:p w14:paraId="71C04E84" w14:textId="7E76735A" w:rsidR="00A15605" w:rsidRPr="00EB3D44" w:rsidRDefault="00F8518E" w:rsidP="001F211F">
          <w:pPr>
            <w:rPr>
              <w:rFonts w:cs="Times New Roman"/>
              <w:sz w:val="18"/>
              <w:szCs w:val="18"/>
            </w:rPr>
          </w:pPr>
          <w:hyperlink r:id="rId1" w:history="1">
            <w:r w:rsidR="00A15605" w:rsidRPr="00EB3D44">
              <w:rPr>
                <w:rStyle w:val="Hyperlink"/>
                <w:rFonts w:cs="Times New Roman"/>
                <w:sz w:val="18"/>
                <w:szCs w:val="18"/>
                <w:u w:val="none"/>
              </w:rPr>
              <w:t>csd.qfr@census.gov</w:t>
            </w:r>
          </w:hyperlink>
        </w:p>
        <w:p w14:paraId="799120ED" w14:textId="77777777" w:rsidR="00A15605" w:rsidRDefault="00A15605" w:rsidP="001F211F">
          <w:pPr>
            <w:rPr>
              <w:rFonts w:cs="Times New Roman"/>
              <w:sz w:val="18"/>
              <w:szCs w:val="18"/>
            </w:rPr>
          </w:pPr>
        </w:p>
      </w:tc>
      <w:tc>
        <w:tcPr>
          <w:tcW w:w="1402" w:type="pct"/>
        </w:tcPr>
        <w:p w14:paraId="4FA9116B" w14:textId="6649EAC0" w:rsidR="00A15605" w:rsidRDefault="00F8518E" w:rsidP="001F211F">
          <w:pPr>
            <w:jc w:val="right"/>
          </w:pPr>
          <w:hyperlink r:id="rId2" w:history="1">
            <w:r w:rsidR="00A15605">
              <w:rPr>
                <w:rStyle w:val="Hyperlink"/>
                <w:rFonts w:cs="Times New Roman"/>
                <w:sz w:val="18"/>
                <w:szCs w:val="18"/>
                <w:u w:val="none"/>
              </w:rPr>
              <w:t>pio@census.gov</w:t>
            </w:r>
          </w:hyperlink>
        </w:p>
      </w:tc>
    </w:tr>
    <w:tr w:rsidR="00A15605" w:rsidRPr="00C551C0" w14:paraId="1C1E3BC8" w14:textId="77777777" w:rsidTr="006D715D">
      <w:trPr>
        <w:jc w:val="center"/>
      </w:trPr>
      <w:tc>
        <w:tcPr>
          <w:tcW w:w="3598" w:type="pct"/>
        </w:tcPr>
        <w:p w14:paraId="4A9489C1" w14:textId="77777777" w:rsidR="00A15605" w:rsidRDefault="00A15605" w:rsidP="001F211F">
          <w:pPr>
            <w:rPr>
              <w:rFonts w:cs="Times New Roman"/>
              <w:sz w:val="18"/>
              <w:szCs w:val="18"/>
            </w:rPr>
          </w:pPr>
          <w:r>
            <w:rPr>
              <w:noProof/>
            </w:rPr>
            <w:drawing>
              <wp:inline distT="0" distB="0" distL="0" distR="0" wp14:anchorId="4EE8173C" wp14:editId="38D03FC0">
                <wp:extent cx="2909320" cy="419100"/>
                <wp:effectExtent l="0" t="0" r="571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2909320" cy="419100"/>
                        </a:xfrm>
                        <a:prstGeom prst="rect">
                          <a:avLst/>
                        </a:prstGeom>
                      </pic:spPr>
                    </pic:pic>
                  </a:graphicData>
                </a:graphic>
              </wp:inline>
            </w:drawing>
          </w:r>
        </w:p>
      </w:tc>
      <w:tc>
        <w:tcPr>
          <w:tcW w:w="1402" w:type="pct"/>
        </w:tcPr>
        <w:p w14:paraId="3F758FE6" w14:textId="7152A0ED" w:rsidR="00A15605" w:rsidRPr="000E3C66" w:rsidRDefault="00A15605" w:rsidP="000E3C66">
          <w:pPr>
            <w:rPr>
              <w:b/>
              <w:i/>
              <w:sz w:val="18"/>
              <w:szCs w:val="18"/>
            </w:rPr>
          </w:pPr>
        </w:p>
      </w:tc>
    </w:tr>
  </w:tbl>
  <w:p w14:paraId="50EB8CD9" w14:textId="03BC8B82" w:rsidR="00A15605" w:rsidRDefault="00A15605">
    <w:pPr>
      <w:pStyle w:val="Footer"/>
    </w:pPr>
  </w:p>
  <w:p w14:paraId="55A382D8" w14:textId="77777777" w:rsidR="00A15605" w:rsidRDefault="00A1560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68F40" w14:textId="77777777" w:rsidR="00A15605" w:rsidRDefault="00A156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C58997" w14:textId="77777777" w:rsidR="00A15605" w:rsidRDefault="00A15605" w:rsidP="0023449C">
      <w:pPr>
        <w:spacing w:after="0" w:line="240" w:lineRule="auto"/>
      </w:pPr>
      <w:r>
        <w:separator/>
      </w:r>
    </w:p>
  </w:footnote>
  <w:footnote w:type="continuationSeparator" w:id="0">
    <w:p w14:paraId="5A102B89" w14:textId="77777777" w:rsidR="00A15605" w:rsidRDefault="00A15605" w:rsidP="002344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68F39" w14:textId="77777777" w:rsidR="00A15605" w:rsidRDefault="00A156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68F3A" w14:textId="77777777" w:rsidR="00A15605" w:rsidRPr="00E7676D" w:rsidRDefault="00A15605" w:rsidP="00E767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68F3F" w14:textId="77777777" w:rsidR="00A15605" w:rsidRDefault="00A156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847D00"/>
    <w:multiLevelType w:val="hybridMultilevel"/>
    <w:tmpl w:val="65AE43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D6C6C31"/>
    <w:multiLevelType w:val="hybridMultilevel"/>
    <w:tmpl w:val="A9824C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9"/>
  <w:proofState w:spelling="clean"/>
  <w:defaultTabStop w:val="720"/>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ReportControlsVisible" w:val="Empty"/>
    <w:docVar w:name="_AMO_UniqueIdentifier" w:val="ce0be685-2f32-490d-8227-c83a1b0c926c"/>
  </w:docVars>
  <w:rsids>
    <w:rsidRoot w:val="00DA5A25"/>
    <w:rsid w:val="0000159A"/>
    <w:rsid w:val="00003BE9"/>
    <w:rsid w:val="00005371"/>
    <w:rsid w:val="000062F5"/>
    <w:rsid w:val="000065B4"/>
    <w:rsid w:val="00006D15"/>
    <w:rsid w:val="000136C3"/>
    <w:rsid w:val="00013842"/>
    <w:rsid w:val="0001653D"/>
    <w:rsid w:val="0002062C"/>
    <w:rsid w:val="00020E47"/>
    <w:rsid w:val="00023149"/>
    <w:rsid w:val="000269B6"/>
    <w:rsid w:val="00026C37"/>
    <w:rsid w:val="00027715"/>
    <w:rsid w:val="00037355"/>
    <w:rsid w:val="00042C67"/>
    <w:rsid w:val="00046797"/>
    <w:rsid w:val="00052425"/>
    <w:rsid w:val="00053B6C"/>
    <w:rsid w:val="00054CE9"/>
    <w:rsid w:val="00054D80"/>
    <w:rsid w:val="00056346"/>
    <w:rsid w:val="000632AF"/>
    <w:rsid w:val="000652A6"/>
    <w:rsid w:val="00065DC8"/>
    <w:rsid w:val="0007066F"/>
    <w:rsid w:val="00071CE7"/>
    <w:rsid w:val="000720EF"/>
    <w:rsid w:val="00074119"/>
    <w:rsid w:val="00074C37"/>
    <w:rsid w:val="000750A9"/>
    <w:rsid w:val="00075659"/>
    <w:rsid w:val="00075887"/>
    <w:rsid w:val="000769B4"/>
    <w:rsid w:val="00077ED7"/>
    <w:rsid w:val="0008176D"/>
    <w:rsid w:val="00082814"/>
    <w:rsid w:val="00085A1D"/>
    <w:rsid w:val="000920D4"/>
    <w:rsid w:val="000922FD"/>
    <w:rsid w:val="000946FE"/>
    <w:rsid w:val="000952FC"/>
    <w:rsid w:val="000A70DF"/>
    <w:rsid w:val="000B2065"/>
    <w:rsid w:val="000C0B5C"/>
    <w:rsid w:val="000C4F76"/>
    <w:rsid w:val="000D0FC8"/>
    <w:rsid w:val="000D6495"/>
    <w:rsid w:val="000E3C66"/>
    <w:rsid w:val="000E7B18"/>
    <w:rsid w:val="000E7B89"/>
    <w:rsid w:val="000F4455"/>
    <w:rsid w:val="000F5B0D"/>
    <w:rsid w:val="000F6AB4"/>
    <w:rsid w:val="000F7197"/>
    <w:rsid w:val="000F7ABD"/>
    <w:rsid w:val="001015B4"/>
    <w:rsid w:val="001037EC"/>
    <w:rsid w:val="00104F7E"/>
    <w:rsid w:val="001057E6"/>
    <w:rsid w:val="001060BA"/>
    <w:rsid w:val="00112653"/>
    <w:rsid w:val="00112785"/>
    <w:rsid w:val="00113770"/>
    <w:rsid w:val="00115B8C"/>
    <w:rsid w:val="001231C5"/>
    <w:rsid w:val="0012523D"/>
    <w:rsid w:val="001313CF"/>
    <w:rsid w:val="001343B3"/>
    <w:rsid w:val="00135CE8"/>
    <w:rsid w:val="00135FB8"/>
    <w:rsid w:val="00142A18"/>
    <w:rsid w:val="001449EE"/>
    <w:rsid w:val="00146A3F"/>
    <w:rsid w:val="00146F56"/>
    <w:rsid w:val="001519A5"/>
    <w:rsid w:val="001540E2"/>
    <w:rsid w:val="001555C3"/>
    <w:rsid w:val="00155EC5"/>
    <w:rsid w:val="00170856"/>
    <w:rsid w:val="001760A3"/>
    <w:rsid w:val="00176807"/>
    <w:rsid w:val="00177FEC"/>
    <w:rsid w:val="00181556"/>
    <w:rsid w:val="001822E2"/>
    <w:rsid w:val="001825AD"/>
    <w:rsid w:val="00187CD7"/>
    <w:rsid w:val="001944D0"/>
    <w:rsid w:val="00195205"/>
    <w:rsid w:val="00196D7B"/>
    <w:rsid w:val="00197FBF"/>
    <w:rsid w:val="001A0937"/>
    <w:rsid w:val="001A179D"/>
    <w:rsid w:val="001B2E1E"/>
    <w:rsid w:val="001B521D"/>
    <w:rsid w:val="001C2060"/>
    <w:rsid w:val="001C701D"/>
    <w:rsid w:val="001D481E"/>
    <w:rsid w:val="001D61E3"/>
    <w:rsid w:val="001D7DD9"/>
    <w:rsid w:val="001E27C0"/>
    <w:rsid w:val="001E3268"/>
    <w:rsid w:val="001E3BFD"/>
    <w:rsid w:val="001E40C3"/>
    <w:rsid w:val="001E4F6D"/>
    <w:rsid w:val="001E5DFB"/>
    <w:rsid w:val="001E737D"/>
    <w:rsid w:val="001F1AA8"/>
    <w:rsid w:val="001F211F"/>
    <w:rsid w:val="001F4392"/>
    <w:rsid w:val="00207EA3"/>
    <w:rsid w:val="00210E93"/>
    <w:rsid w:val="00214AB1"/>
    <w:rsid w:val="002153CE"/>
    <w:rsid w:val="0022081B"/>
    <w:rsid w:val="00224393"/>
    <w:rsid w:val="00232DEB"/>
    <w:rsid w:val="0023365E"/>
    <w:rsid w:val="0023449C"/>
    <w:rsid w:val="00234A17"/>
    <w:rsid w:val="00234F4A"/>
    <w:rsid w:val="00243E98"/>
    <w:rsid w:val="00244D39"/>
    <w:rsid w:val="00255B59"/>
    <w:rsid w:val="002606F2"/>
    <w:rsid w:val="00261B6D"/>
    <w:rsid w:val="00262F2A"/>
    <w:rsid w:val="002638AE"/>
    <w:rsid w:val="002639E3"/>
    <w:rsid w:val="002720EB"/>
    <w:rsid w:val="0027276B"/>
    <w:rsid w:val="00275723"/>
    <w:rsid w:val="00277889"/>
    <w:rsid w:val="00281A51"/>
    <w:rsid w:val="00281C92"/>
    <w:rsid w:val="00287345"/>
    <w:rsid w:val="002953CE"/>
    <w:rsid w:val="00295D54"/>
    <w:rsid w:val="00296E81"/>
    <w:rsid w:val="002A0C89"/>
    <w:rsid w:val="002A5EB6"/>
    <w:rsid w:val="002A6402"/>
    <w:rsid w:val="002B0B0C"/>
    <w:rsid w:val="002B2744"/>
    <w:rsid w:val="002B2BFA"/>
    <w:rsid w:val="002B3234"/>
    <w:rsid w:val="002B38AE"/>
    <w:rsid w:val="002B3BDA"/>
    <w:rsid w:val="002B3DDF"/>
    <w:rsid w:val="002B58F1"/>
    <w:rsid w:val="002B7FF9"/>
    <w:rsid w:val="002C0A5D"/>
    <w:rsid w:val="002C4ABA"/>
    <w:rsid w:val="002C718E"/>
    <w:rsid w:val="002D14E8"/>
    <w:rsid w:val="002D6F4C"/>
    <w:rsid w:val="002E4A4D"/>
    <w:rsid w:val="002E7410"/>
    <w:rsid w:val="002F01F7"/>
    <w:rsid w:val="002F2D51"/>
    <w:rsid w:val="002F5227"/>
    <w:rsid w:val="002F54D2"/>
    <w:rsid w:val="00300B4F"/>
    <w:rsid w:val="00303DCE"/>
    <w:rsid w:val="00304B49"/>
    <w:rsid w:val="003058B0"/>
    <w:rsid w:val="00313E2A"/>
    <w:rsid w:val="003155EA"/>
    <w:rsid w:val="00317F7E"/>
    <w:rsid w:val="003215E5"/>
    <w:rsid w:val="00321C26"/>
    <w:rsid w:val="00327E2D"/>
    <w:rsid w:val="00333D54"/>
    <w:rsid w:val="00334519"/>
    <w:rsid w:val="00341BE8"/>
    <w:rsid w:val="003507EF"/>
    <w:rsid w:val="00350EC5"/>
    <w:rsid w:val="003511E0"/>
    <w:rsid w:val="00356B5A"/>
    <w:rsid w:val="00362C0D"/>
    <w:rsid w:val="0036554D"/>
    <w:rsid w:val="003737C1"/>
    <w:rsid w:val="00373DD0"/>
    <w:rsid w:val="0037401E"/>
    <w:rsid w:val="00374096"/>
    <w:rsid w:val="00375921"/>
    <w:rsid w:val="003761BC"/>
    <w:rsid w:val="003768DE"/>
    <w:rsid w:val="00381D0C"/>
    <w:rsid w:val="00382192"/>
    <w:rsid w:val="003846D6"/>
    <w:rsid w:val="00395F9B"/>
    <w:rsid w:val="00396D7D"/>
    <w:rsid w:val="003A2509"/>
    <w:rsid w:val="003A5EB0"/>
    <w:rsid w:val="003B332F"/>
    <w:rsid w:val="003B47B2"/>
    <w:rsid w:val="003B7E1B"/>
    <w:rsid w:val="003C01C3"/>
    <w:rsid w:val="003C0E2B"/>
    <w:rsid w:val="003C7726"/>
    <w:rsid w:val="003D1FE3"/>
    <w:rsid w:val="003D3D66"/>
    <w:rsid w:val="003E3755"/>
    <w:rsid w:val="003E7660"/>
    <w:rsid w:val="003E788B"/>
    <w:rsid w:val="003F6703"/>
    <w:rsid w:val="00402C28"/>
    <w:rsid w:val="00403ACA"/>
    <w:rsid w:val="00411614"/>
    <w:rsid w:val="00412F4D"/>
    <w:rsid w:val="00417E6A"/>
    <w:rsid w:val="00417F94"/>
    <w:rsid w:val="0042209A"/>
    <w:rsid w:val="00424C8D"/>
    <w:rsid w:val="00427DC4"/>
    <w:rsid w:val="00430C0B"/>
    <w:rsid w:val="00432FEC"/>
    <w:rsid w:val="00440117"/>
    <w:rsid w:val="00442E65"/>
    <w:rsid w:val="00455F0A"/>
    <w:rsid w:val="00462927"/>
    <w:rsid w:val="0046421B"/>
    <w:rsid w:val="00464F62"/>
    <w:rsid w:val="004705BD"/>
    <w:rsid w:val="004707F2"/>
    <w:rsid w:val="0047475D"/>
    <w:rsid w:val="00474ED7"/>
    <w:rsid w:val="00476D2F"/>
    <w:rsid w:val="00481662"/>
    <w:rsid w:val="00485422"/>
    <w:rsid w:val="00485FE8"/>
    <w:rsid w:val="0048752E"/>
    <w:rsid w:val="004906A1"/>
    <w:rsid w:val="004919A4"/>
    <w:rsid w:val="004A009B"/>
    <w:rsid w:val="004A2AFA"/>
    <w:rsid w:val="004A31D5"/>
    <w:rsid w:val="004A4283"/>
    <w:rsid w:val="004A4A5A"/>
    <w:rsid w:val="004A7B9D"/>
    <w:rsid w:val="004B5DA2"/>
    <w:rsid w:val="004B61F1"/>
    <w:rsid w:val="004B7139"/>
    <w:rsid w:val="004B7E1E"/>
    <w:rsid w:val="004C23DA"/>
    <w:rsid w:val="004C3F78"/>
    <w:rsid w:val="004C571F"/>
    <w:rsid w:val="004C7E57"/>
    <w:rsid w:val="004D7DE1"/>
    <w:rsid w:val="004E4831"/>
    <w:rsid w:val="004E5EBD"/>
    <w:rsid w:val="004E6572"/>
    <w:rsid w:val="004F05C0"/>
    <w:rsid w:val="004F77A1"/>
    <w:rsid w:val="00500232"/>
    <w:rsid w:val="00500EAD"/>
    <w:rsid w:val="0050130C"/>
    <w:rsid w:val="00514BA2"/>
    <w:rsid w:val="00517003"/>
    <w:rsid w:val="00523DCE"/>
    <w:rsid w:val="00524C63"/>
    <w:rsid w:val="00526511"/>
    <w:rsid w:val="005303F0"/>
    <w:rsid w:val="0053288C"/>
    <w:rsid w:val="0053387E"/>
    <w:rsid w:val="0053685A"/>
    <w:rsid w:val="00541544"/>
    <w:rsid w:val="005429E1"/>
    <w:rsid w:val="005433CE"/>
    <w:rsid w:val="00550484"/>
    <w:rsid w:val="005524CA"/>
    <w:rsid w:val="0055304D"/>
    <w:rsid w:val="00553714"/>
    <w:rsid w:val="00554372"/>
    <w:rsid w:val="00555C5A"/>
    <w:rsid w:val="00557023"/>
    <w:rsid w:val="005606EA"/>
    <w:rsid w:val="00560B49"/>
    <w:rsid w:val="00563C04"/>
    <w:rsid w:val="00565442"/>
    <w:rsid w:val="00566018"/>
    <w:rsid w:val="00567576"/>
    <w:rsid w:val="00567FE0"/>
    <w:rsid w:val="0057153B"/>
    <w:rsid w:val="00572D2C"/>
    <w:rsid w:val="005853EB"/>
    <w:rsid w:val="00586309"/>
    <w:rsid w:val="005925D4"/>
    <w:rsid w:val="00593788"/>
    <w:rsid w:val="00595287"/>
    <w:rsid w:val="005A2BD2"/>
    <w:rsid w:val="005A4A96"/>
    <w:rsid w:val="005B0EA1"/>
    <w:rsid w:val="005B1530"/>
    <w:rsid w:val="005B61C2"/>
    <w:rsid w:val="005C061A"/>
    <w:rsid w:val="005C09B7"/>
    <w:rsid w:val="005C2B82"/>
    <w:rsid w:val="005C69B8"/>
    <w:rsid w:val="005C7112"/>
    <w:rsid w:val="005D144A"/>
    <w:rsid w:val="005D1601"/>
    <w:rsid w:val="005E58F8"/>
    <w:rsid w:val="005F16EE"/>
    <w:rsid w:val="005F37C6"/>
    <w:rsid w:val="005F79CF"/>
    <w:rsid w:val="00602F79"/>
    <w:rsid w:val="00607C53"/>
    <w:rsid w:val="00612AB6"/>
    <w:rsid w:val="00613D80"/>
    <w:rsid w:val="00625D99"/>
    <w:rsid w:val="006320D2"/>
    <w:rsid w:val="00633B2B"/>
    <w:rsid w:val="0063422E"/>
    <w:rsid w:val="0063541E"/>
    <w:rsid w:val="006367E8"/>
    <w:rsid w:val="00636B15"/>
    <w:rsid w:val="00636B38"/>
    <w:rsid w:val="00642F74"/>
    <w:rsid w:val="0064367D"/>
    <w:rsid w:val="00643CDB"/>
    <w:rsid w:val="00646704"/>
    <w:rsid w:val="0065110F"/>
    <w:rsid w:val="0065178C"/>
    <w:rsid w:val="00652382"/>
    <w:rsid w:val="00654B1F"/>
    <w:rsid w:val="00661A8D"/>
    <w:rsid w:val="00662180"/>
    <w:rsid w:val="00664355"/>
    <w:rsid w:val="006643EF"/>
    <w:rsid w:val="00666964"/>
    <w:rsid w:val="00666DB9"/>
    <w:rsid w:val="00667D4D"/>
    <w:rsid w:val="00670A42"/>
    <w:rsid w:val="00671BFB"/>
    <w:rsid w:val="006730D5"/>
    <w:rsid w:val="00676060"/>
    <w:rsid w:val="006779C3"/>
    <w:rsid w:val="00680B43"/>
    <w:rsid w:val="006837F9"/>
    <w:rsid w:val="0069247F"/>
    <w:rsid w:val="00694C03"/>
    <w:rsid w:val="006A13E9"/>
    <w:rsid w:val="006A2601"/>
    <w:rsid w:val="006A3702"/>
    <w:rsid w:val="006A621C"/>
    <w:rsid w:val="006B01C4"/>
    <w:rsid w:val="006B5176"/>
    <w:rsid w:val="006B719D"/>
    <w:rsid w:val="006B7745"/>
    <w:rsid w:val="006C1FF6"/>
    <w:rsid w:val="006C474E"/>
    <w:rsid w:val="006C7D07"/>
    <w:rsid w:val="006D1C37"/>
    <w:rsid w:val="006D715D"/>
    <w:rsid w:val="006E3C8C"/>
    <w:rsid w:val="006E44F0"/>
    <w:rsid w:val="006E5C0F"/>
    <w:rsid w:val="006E712A"/>
    <w:rsid w:val="006E73C6"/>
    <w:rsid w:val="006F0D64"/>
    <w:rsid w:val="006F1359"/>
    <w:rsid w:val="006F1B3E"/>
    <w:rsid w:val="006F1C6F"/>
    <w:rsid w:val="006F655A"/>
    <w:rsid w:val="00706C16"/>
    <w:rsid w:val="007073EA"/>
    <w:rsid w:val="00711A03"/>
    <w:rsid w:val="007120A7"/>
    <w:rsid w:val="00712EFC"/>
    <w:rsid w:val="007152F6"/>
    <w:rsid w:val="007201EB"/>
    <w:rsid w:val="00723285"/>
    <w:rsid w:val="007233A0"/>
    <w:rsid w:val="007238B0"/>
    <w:rsid w:val="007260E9"/>
    <w:rsid w:val="00733A14"/>
    <w:rsid w:val="007372B9"/>
    <w:rsid w:val="007408DD"/>
    <w:rsid w:val="007442A1"/>
    <w:rsid w:val="00751C87"/>
    <w:rsid w:val="007531A1"/>
    <w:rsid w:val="007640C1"/>
    <w:rsid w:val="007660C7"/>
    <w:rsid w:val="00766E27"/>
    <w:rsid w:val="0077189E"/>
    <w:rsid w:val="0077461A"/>
    <w:rsid w:val="00774BFE"/>
    <w:rsid w:val="00777BA8"/>
    <w:rsid w:val="00780701"/>
    <w:rsid w:val="00785241"/>
    <w:rsid w:val="007863F2"/>
    <w:rsid w:val="0078791C"/>
    <w:rsid w:val="00793E0A"/>
    <w:rsid w:val="00795CE5"/>
    <w:rsid w:val="007A151B"/>
    <w:rsid w:val="007A20C9"/>
    <w:rsid w:val="007A52B8"/>
    <w:rsid w:val="007A63BF"/>
    <w:rsid w:val="007A7107"/>
    <w:rsid w:val="007B2237"/>
    <w:rsid w:val="007B3154"/>
    <w:rsid w:val="007B3180"/>
    <w:rsid w:val="007C0E82"/>
    <w:rsid w:val="007C4FCD"/>
    <w:rsid w:val="007C5367"/>
    <w:rsid w:val="007C6E78"/>
    <w:rsid w:val="007C7985"/>
    <w:rsid w:val="007D7968"/>
    <w:rsid w:val="007E1206"/>
    <w:rsid w:val="007E218E"/>
    <w:rsid w:val="007E5DA6"/>
    <w:rsid w:val="007E7F84"/>
    <w:rsid w:val="007F017C"/>
    <w:rsid w:val="007F1231"/>
    <w:rsid w:val="007F51EA"/>
    <w:rsid w:val="007F53DE"/>
    <w:rsid w:val="007F6AF8"/>
    <w:rsid w:val="007F7B5C"/>
    <w:rsid w:val="00801D4D"/>
    <w:rsid w:val="00804716"/>
    <w:rsid w:val="00805519"/>
    <w:rsid w:val="00812636"/>
    <w:rsid w:val="00815200"/>
    <w:rsid w:val="00820EDD"/>
    <w:rsid w:val="0082171C"/>
    <w:rsid w:val="00822A43"/>
    <w:rsid w:val="00823641"/>
    <w:rsid w:val="00825695"/>
    <w:rsid w:val="00826566"/>
    <w:rsid w:val="0082683B"/>
    <w:rsid w:val="00830160"/>
    <w:rsid w:val="008307FB"/>
    <w:rsid w:val="00830DA8"/>
    <w:rsid w:val="00831147"/>
    <w:rsid w:val="008327C9"/>
    <w:rsid w:val="00833AE6"/>
    <w:rsid w:val="00834A0F"/>
    <w:rsid w:val="00846DA2"/>
    <w:rsid w:val="00860923"/>
    <w:rsid w:val="00861AC2"/>
    <w:rsid w:val="00861FFC"/>
    <w:rsid w:val="00863047"/>
    <w:rsid w:val="00863E94"/>
    <w:rsid w:val="00866536"/>
    <w:rsid w:val="00874E8C"/>
    <w:rsid w:val="008775AC"/>
    <w:rsid w:val="008800AB"/>
    <w:rsid w:val="00882986"/>
    <w:rsid w:val="0088396C"/>
    <w:rsid w:val="008857A8"/>
    <w:rsid w:val="00885AB2"/>
    <w:rsid w:val="00886491"/>
    <w:rsid w:val="0088699E"/>
    <w:rsid w:val="008870AB"/>
    <w:rsid w:val="008912EF"/>
    <w:rsid w:val="0089181E"/>
    <w:rsid w:val="008932AA"/>
    <w:rsid w:val="0089769F"/>
    <w:rsid w:val="008A04D1"/>
    <w:rsid w:val="008A1C96"/>
    <w:rsid w:val="008A1D29"/>
    <w:rsid w:val="008A22C2"/>
    <w:rsid w:val="008A56C4"/>
    <w:rsid w:val="008B0A9C"/>
    <w:rsid w:val="008B0EFE"/>
    <w:rsid w:val="008B3441"/>
    <w:rsid w:val="008B5872"/>
    <w:rsid w:val="008C4F14"/>
    <w:rsid w:val="008C535A"/>
    <w:rsid w:val="008C5B44"/>
    <w:rsid w:val="008C72BD"/>
    <w:rsid w:val="008D2AE3"/>
    <w:rsid w:val="008D3584"/>
    <w:rsid w:val="008E0CA0"/>
    <w:rsid w:val="008E267E"/>
    <w:rsid w:val="008E48C6"/>
    <w:rsid w:val="008E6D07"/>
    <w:rsid w:val="008F11D6"/>
    <w:rsid w:val="0090235A"/>
    <w:rsid w:val="00905014"/>
    <w:rsid w:val="009053DB"/>
    <w:rsid w:val="00910F75"/>
    <w:rsid w:val="00915B5B"/>
    <w:rsid w:val="009162C1"/>
    <w:rsid w:val="00935332"/>
    <w:rsid w:val="00935B20"/>
    <w:rsid w:val="00937A8E"/>
    <w:rsid w:val="009468F9"/>
    <w:rsid w:val="00954D4B"/>
    <w:rsid w:val="00956BE5"/>
    <w:rsid w:val="009574BB"/>
    <w:rsid w:val="009637D0"/>
    <w:rsid w:val="00964B9B"/>
    <w:rsid w:val="00965442"/>
    <w:rsid w:val="00966F00"/>
    <w:rsid w:val="00981A3B"/>
    <w:rsid w:val="00982B99"/>
    <w:rsid w:val="00986150"/>
    <w:rsid w:val="00994BC0"/>
    <w:rsid w:val="009A0012"/>
    <w:rsid w:val="009A0790"/>
    <w:rsid w:val="009A5A02"/>
    <w:rsid w:val="009A64C1"/>
    <w:rsid w:val="009A6A93"/>
    <w:rsid w:val="009B40FF"/>
    <w:rsid w:val="009B73F1"/>
    <w:rsid w:val="009C2755"/>
    <w:rsid w:val="009C462B"/>
    <w:rsid w:val="009D018C"/>
    <w:rsid w:val="009D0945"/>
    <w:rsid w:val="009D1621"/>
    <w:rsid w:val="009D27B0"/>
    <w:rsid w:val="009E0494"/>
    <w:rsid w:val="009E1FCD"/>
    <w:rsid w:val="009E2C2F"/>
    <w:rsid w:val="009E3952"/>
    <w:rsid w:val="009F34A9"/>
    <w:rsid w:val="00A0179E"/>
    <w:rsid w:val="00A03A01"/>
    <w:rsid w:val="00A11534"/>
    <w:rsid w:val="00A11C54"/>
    <w:rsid w:val="00A15605"/>
    <w:rsid w:val="00A171B3"/>
    <w:rsid w:val="00A212BE"/>
    <w:rsid w:val="00A330EF"/>
    <w:rsid w:val="00A34861"/>
    <w:rsid w:val="00A356A7"/>
    <w:rsid w:val="00A40368"/>
    <w:rsid w:val="00A4120F"/>
    <w:rsid w:val="00A452B6"/>
    <w:rsid w:val="00A47A9C"/>
    <w:rsid w:val="00A51BC2"/>
    <w:rsid w:val="00A611EA"/>
    <w:rsid w:val="00A626DB"/>
    <w:rsid w:val="00A62CC8"/>
    <w:rsid w:val="00A63B26"/>
    <w:rsid w:val="00A63E4A"/>
    <w:rsid w:val="00A66E11"/>
    <w:rsid w:val="00A71170"/>
    <w:rsid w:val="00A77DD6"/>
    <w:rsid w:val="00A808E8"/>
    <w:rsid w:val="00A80AF4"/>
    <w:rsid w:val="00A86028"/>
    <w:rsid w:val="00A8787A"/>
    <w:rsid w:val="00A9032C"/>
    <w:rsid w:val="00A91891"/>
    <w:rsid w:val="00A92EFD"/>
    <w:rsid w:val="00AA06E8"/>
    <w:rsid w:val="00AA1E41"/>
    <w:rsid w:val="00AA2287"/>
    <w:rsid w:val="00AA4DDA"/>
    <w:rsid w:val="00AA5FFB"/>
    <w:rsid w:val="00AB5A49"/>
    <w:rsid w:val="00AB7223"/>
    <w:rsid w:val="00AC5011"/>
    <w:rsid w:val="00AC5A90"/>
    <w:rsid w:val="00AD02D6"/>
    <w:rsid w:val="00AE27B0"/>
    <w:rsid w:val="00AE2FB0"/>
    <w:rsid w:val="00AE6466"/>
    <w:rsid w:val="00AF3681"/>
    <w:rsid w:val="00AF5CB7"/>
    <w:rsid w:val="00AF74C5"/>
    <w:rsid w:val="00B00512"/>
    <w:rsid w:val="00B04671"/>
    <w:rsid w:val="00B12BFF"/>
    <w:rsid w:val="00B134D2"/>
    <w:rsid w:val="00B22D5A"/>
    <w:rsid w:val="00B23A53"/>
    <w:rsid w:val="00B255AF"/>
    <w:rsid w:val="00B27696"/>
    <w:rsid w:val="00B31522"/>
    <w:rsid w:val="00B32031"/>
    <w:rsid w:val="00B3697A"/>
    <w:rsid w:val="00B40A4C"/>
    <w:rsid w:val="00B5048D"/>
    <w:rsid w:val="00B51AB2"/>
    <w:rsid w:val="00B53615"/>
    <w:rsid w:val="00B6104B"/>
    <w:rsid w:val="00B631AC"/>
    <w:rsid w:val="00B636EA"/>
    <w:rsid w:val="00B63850"/>
    <w:rsid w:val="00B77380"/>
    <w:rsid w:val="00B77B25"/>
    <w:rsid w:val="00B84359"/>
    <w:rsid w:val="00B91404"/>
    <w:rsid w:val="00B964AB"/>
    <w:rsid w:val="00BA0404"/>
    <w:rsid w:val="00BA0969"/>
    <w:rsid w:val="00BA19A0"/>
    <w:rsid w:val="00BA28DB"/>
    <w:rsid w:val="00BA609C"/>
    <w:rsid w:val="00BA78FB"/>
    <w:rsid w:val="00BB0756"/>
    <w:rsid w:val="00BB0D4D"/>
    <w:rsid w:val="00BB1E59"/>
    <w:rsid w:val="00BB6C16"/>
    <w:rsid w:val="00BC04EA"/>
    <w:rsid w:val="00BC79C6"/>
    <w:rsid w:val="00BD415A"/>
    <w:rsid w:val="00BD4EFA"/>
    <w:rsid w:val="00BD77B8"/>
    <w:rsid w:val="00BE1D86"/>
    <w:rsid w:val="00BE488E"/>
    <w:rsid w:val="00BF249F"/>
    <w:rsid w:val="00BF3B62"/>
    <w:rsid w:val="00BF620B"/>
    <w:rsid w:val="00C00467"/>
    <w:rsid w:val="00C038DC"/>
    <w:rsid w:val="00C05D32"/>
    <w:rsid w:val="00C0647E"/>
    <w:rsid w:val="00C07AB7"/>
    <w:rsid w:val="00C1021F"/>
    <w:rsid w:val="00C10753"/>
    <w:rsid w:val="00C1234C"/>
    <w:rsid w:val="00C127BC"/>
    <w:rsid w:val="00C12AF0"/>
    <w:rsid w:val="00C1435D"/>
    <w:rsid w:val="00C21470"/>
    <w:rsid w:val="00C22A26"/>
    <w:rsid w:val="00C245F6"/>
    <w:rsid w:val="00C2740F"/>
    <w:rsid w:val="00C31A83"/>
    <w:rsid w:val="00C35203"/>
    <w:rsid w:val="00C4603B"/>
    <w:rsid w:val="00C47FEC"/>
    <w:rsid w:val="00C50734"/>
    <w:rsid w:val="00C53109"/>
    <w:rsid w:val="00C53A7A"/>
    <w:rsid w:val="00C54ABB"/>
    <w:rsid w:val="00C57823"/>
    <w:rsid w:val="00C606D3"/>
    <w:rsid w:val="00C66431"/>
    <w:rsid w:val="00C81A96"/>
    <w:rsid w:val="00C837F5"/>
    <w:rsid w:val="00C905AE"/>
    <w:rsid w:val="00C92B14"/>
    <w:rsid w:val="00C9349B"/>
    <w:rsid w:val="00C96C2B"/>
    <w:rsid w:val="00C97BEA"/>
    <w:rsid w:val="00CA0825"/>
    <w:rsid w:val="00CB7A11"/>
    <w:rsid w:val="00CC181B"/>
    <w:rsid w:val="00CD083A"/>
    <w:rsid w:val="00CD15E6"/>
    <w:rsid w:val="00CD3251"/>
    <w:rsid w:val="00CD4D94"/>
    <w:rsid w:val="00CE14D6"/>
    <w:rsid w:val="00CE15B4"/>
    <w:rsid w:val="00CE1831"/>
    <w:rsid w:val="00CF0492"/>
    <w:rsid w:val="00D007E0"/>
    <w:rsid w:val="00D0162C"/>
    <w:rsid w:val="00D02D91"/>
    <w:rsid w:val="00D03EA2"/>
    <w:rsid w:val="00D04E13"/>
    <w:rsid w:val="00D12CBA"/>
    <w:rsid w:val="00D1781B"/>
    <w:rsid w:val="00D235E6"/>
    <w:rsid w:val="00D23876"/>
    <w:rsid w:val="00D25184"/>
    <w:rsid w:val="00D31716"/>
    <w:rsid w:val="00D340E2"/>
    <w:rsid w:val="00D34527"/>
    <w:rsid w:val="00D37667"/>
    <w:rsid w:val="00D37C1F"/>
    <w:rsid w:val="00D518E5"/>
    <w:rsid w:val="00D542E9"/>
    <w:rsid w:val="00D61754"/>
    <w:rsid w:val="00D62B44"/>
    <w:rsid w:val="00D62B72"/>
    <w:rsid w:val="00D630E2"/>
    <w:rsid w:val="00D64543"/>
    <w:rsid w:val="00D66CC7"/>
    <w:rsid w:val="00D66D9A"/>
    <w:rsid w:val="00D713DA"/>
    <w:rsid w:val="00D71A11"/>
    <w:rsid w:val="00D74044"/>
    <w:rsid w:val="00D744E5"/>
    <w:rsid w:val="00D74774"/>
    <w:rsid w:val="00D81CBC"/>
    <w:rsid w:val="00D85FBC"/>
    <w:rsid w:val="00D8684D"/>
    <w:rsid w:val="00D922F7"/>
    <w:rsid w:val="00D93767"/>
    <w:rsid w:val="00D93E79"/>
    <w:rsid w:val="00D95987"/>
    <w:rsid w:val="00D96CD9"/>
    <w:rsid w:val="00D97FC8"/>
    <w:rsid w:val="00DA0ABA"/>
    <w:rsid w:val="00DA1120"/>
    <w:rsid w:val="00DA3498"/>
    <w:rsid w:val="00DA34B5"/>
    <w:rsid w:val="00DA3C68"/>
    <w:rsid w:val="00DA5A25"/>
    <w:rsid w:val="00DA5FAC"/>
    <w:rsid w:val="00DA7230"/>
    <w:rsid w:val="00DB0F0B"/>
    <w:rsid w:val="00DB14B1"/>
    <w:rsid w:val="00DB3F54"/>
    <w:rsid w:val="00DC40BD"/>
    <w:rsid w:val="00DC4510"/>
    <w:rsid w:val="00DC52E1"/>
    <w:rsid w:val="00DD1DAC"/>
    <w:rsid w:val="00DD4F3B"/>
    <w:rsid w:val="00DE303C"/>
    <w:rsid w:val="00DE3297"/>
    <w:rsid w:val="00DF1B46"/>
    <w:rsid w:val="00DF566F"/>
    <w:rsid w:val="00DF5E05"/>
    <w:rsid w:val="00DF7A74"/>
    <w:rsid w:val="00E02125"/>
    <w:rsid w:val="00E03A67"/>
    <w:rsid w:val="00E07946"/>
    <w:rsid w:val="00E13F23"/>
    <w:rsid w:val="00E15EEB"/>
    <w:rsid w:val="00E16780"/>
    <w:rsid w:val="00E17AB2"/>
    <w:rsid w:val="00E2095E"/>
    <w:rsid w:val="00E2212F"/>
    <w:rsid w:val="00E22867"/>
    <w:rsid w:val="00E266C4"/>
    <w:rsid w:val="00E30DE6"/>
    <w:rsid w:val="00E36E78"/>
    <w:rsid w:val="00E37295"/>
    <w:rsid w:val="00E4164C"/>
    <w:rsid w:val="00E41971"/>
    <w:rsid w:val="00E41A69"/>
    <w:rsid w:val="00E42ACA"/>
    <w:rsid w:val="00E4304F"/>
    <w:rsid w:val="00E4552B"/>
    <w:rsid w:val="00E50DC7"/>
    <w:rsid w:val="00E54DAA"/>
    <w:rsid w:val="00E578D1"/>
    <w:rsid w:val="00E611F6"/>
    <w:rsid w:val="00E63BB9"/>
    <w:rsid w:val="00E65C9D"/>
    <w:rsid w:val="00E7525D"/>
    <w:rsid w:val="00E7676D"/>
    <w:rsid w:val="00E77B81"/>
    <w:rsid w:val="00E83E00"/>
    <w:rsid w:val="00E856F2"/>
    <w:rsid w:val="00E910FF"/>
    <w:rsid w:val="00E92E08"/>
    <w:rsid w:val="00E95883"/>
    <w:rsid w:val="00EA1A6C"/>
    <w:rsid w:val="00EA2A86"/>
    <w:rsid w:val="00EA406A"/>
    <w:rsid w:val="00EA416D"/>
    <w:rsid w:val="00EA6463"/>
    <w:rsid w:val="00EA7B6A"/>
    <w:rsid w:val="00EB3D44"/>
    <w:rsid w:val="00EB58DB"/>
    <w:rsid w:val="00EB7D33"/>
    <w:rsid w:val="00EC3EB8"/>
    <w:rsid w:val="00ED1574"/>
    <w:rsid w:val="00ED34A7"/>
    <w:rsid w:val="00ED442A"/>
    <w:rsid w:val="00ED4E5B"/>
    <w:rsid w:val="00EF0633"/>
    <w:rsid w:val="00EF1277"/>
    <w:rsid w:val="00EF23EF"/>
    <w:rsid w:val="00EF365F"/>
    <w:rsid w:val="00EF39AC"/>
    <w:rsid w:val="00EF4E32"/>
    <w:rsid w:val="00EF60D4"/>
    <w:rsid w:val="00EF7E4C"/>
    <w:rsid w:val="00F014AD"/>
    <w:rsid w:val="00F01DDB"/>
    <w:rsid w:val="00F02447"/>
    <w:rsid w:val="00F02AA6"/>
    <w:rsid w:val="00F03806"/>
    <w:rsid w:val="00F039D5"/>
    <w:rsid w:val="00F04459"/>
    <w:rsid w:val="00F05C41"/>
    <w:rsid w:val="00F06858"/>
    <w:rsid w:val="00F13D14"/>
    <w:rsid w:val="00F22AEA"/>
    <w:rsid w:val="00F2580E"/>
    <w:rsid w:val="00F30A8D"/>
    <w:rsid w:val="00F337CD"/>
    <w:rsid w:val="00F352D0"/>
    <w:rsid w:val="00F40956"/>
    <w:rsid w:val="00F40A39"/>
    <w:rsid w:val="00F43B01"/>
    <w:rsid w:val="00F514CA"/>
    <w:rsid w:val="00F53561"/>
    <w:rsid w:val="00F53F29"/>
    <w:rsid w:val="00F57680"/>
    <w:rsid w:val="00F61047"/>
    <w:rsid w:val="00F65176"/>
    <w:rsid w:val="00F72173"/>
    <w:rsid w:val="00F73B43"/>
    <w:rsid w:val="00F74237"/>
    <w:rsid w:val="00F77475"/>
    <w:rsid w:val="00F814B9"/>
    <w:rsid w:val="00F8237C"/>
    <w:rsid w:val="00F83B09"/>
    <w:rsid w:val="00F8518E"/>
    <w:rsid w:val="00F91A7B"/>
    <w:rsid w:val="00F94AED"/>
    <w:rsid w:val="00F96FAA"/>
    <w:rsid w:val="00FA1257"/>
    <w:rsid w:val="00FA2207"/>
    <w:rsid w:val="00FA29F6"/>
    <w:rsid w:val="00FA5EF2"/>
    <w:rsid w:val="00FA674D"/>
    <w:rsid w:val="00FA756A"/>
    <w:rsid w:val="00FA78EE"/>
    <w:rsid w:val="00FB18C1"/>
    <w:rsid w:val="00FB3ECE"/>
    <w:rsid w:val="00FB40D5"/>
    <w:rsid w:val="00FB5C86"/>
    <w:rsid w:val="00FC013A"/>
    <w:rsid w:val="00FD34DE"/>
    <w:rsid w:val="00FD62C7"/>
    <w:rsid w:val="00FD68D5"/>
    <w:rsid w:val="00FD6C0C"/>
    <w:rsid w:val="00FE482B"/>
    <w:rsid w:val="00FE498E"/>
    <w:rsid w:val="00FE6A4D"/>
    <w:rsid w:val="00FE7A03"/>
    <w:rsid w:val="00FF3216"/>
    <w:rsid w:val="00FF6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01"/>
    <o:shapelayout v:ext="edit">
      <o:idmap v:ext="edit" data="1"/>
    </o:shapelayout>
  </w:shapeDefaults>
  <w:decimalSymbol w:val="."/>
  <w:listSeparator w:val=","/>
  <w14:docId w14:val="2AB68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F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5A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5A25"/>
    <w:rPr>
      <w:rFonts w:ascii="Tahoma" w:hAnsi="Tahoma" w:cs="Tahoma"/>
      <w:sz w:val="16"/>
      <w:szCs w:val="16"/>
    </w:rPr>
  </w:style>
  <w:style w:type="paragraph" w:styleId="Header">
    <w:name w:val="header"/>
    <w:basedOn w:val="Normal"/>
    <w:link w:val="HeaderChar"/>
    <w:uiPriority w:val="99"/>
    <w:unhideWhenUsed/>
    <w:rsid w:val="00234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49C"/>
  </w:style>
  <w:style w:type="paragraph" w:styleId="Footer">
    <w:name w:val="footer"/>
    <w:basedOn w:val="Normal"/>
    <w:link w:val="FooterChar"/>
    <w:uiPriority w:val="99"/>
    <w:unhideWhenUsed/>
    <w:rsid w:val="00234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49C"/>
  </w:style>
  <w:style w:type="table" w:styleId="TableGrid">
    <w:name w:val="Table Grid"/>
    <w:basedOn w:val="TableNormal"/>
    <w:uiPriority w:val="59"/>
    <w:rsid w:val="006A2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3A53"/>
    <w:pPr>
      <w:ind w:left="720"/>
      <w:contextualSpacing/>
    </w:pPr>
  </w:style>
  <w:style w:type="character" w:styleId="Hyperlink">
    <w:name w:val="Hyperlink"/>
    <w:basedOn w:val="DefaultParagraphFont"/>
    <w:uiPriority w:val="99"/>
    <w:unhideWhenUsed/>
    <w:rsid w:val="001E737D"/>
    <w:rPr>
      <w:color w:val="0000FF" w:themeColor="hyperlink"/>
      <w:u w:val="single"/>
    </w:rPr>
  </w:style>
  <w:style w:type="paragraph" w:styleId="NoSpacing">
    <w:name w:val="No Spacing"/>
    <w:uiPriority w:val="1"/>
    <w:qFormat/>
    <w:rsid w:val="000632AF"/>
    <w:pPr>
      <w:spacing w:after="0" w:line="240" w:lineRule="auto"/>
    </w:pPr>
  </w:style>
  <w:style w:type="character" w:styleId="FollowedHyperlink">
    <w:name w:val="FollowedHyperlink"/>
    <w:basedOn w:val="DefaultParagraphFont"/>
    <w:uiPriority w:val="99"/>
    <w:semiHidden/>
    <w:unhideWhenUsed/>
    <w:rsid w:val="00A63B2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F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5A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5A25"/>
    <w:rPr>
      <w:rFonts w:ascii="Tahoma" w:hAnsi="Tahoma" w:cs="Tahoma"/>
      <w:sz w:val="16"/>
      <w:szCs w:val="16"/>
    </w:rPr>
  </w:style>
  <w:style w:type="paragraph" w:styleId="Header">
    <w:name w:val="header"/>
    <w:basedOn w:val="Normal"/>
    <w:link w:val="HeaderChar"/>
    <w:uiPriority w:val="99"/>
    <w:unhideWhenUsed/>
    <w:rsid w:val="00234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49C"/>
  </w:style>
  <w:style w:type="paragraph" w:styleId="Footer">
    <w:name w:val="footer"/>
    <w:basedOn w:val="Normal"/>
    <w:link w:val="FooterChar"/>
    <w:uiPriority w:val="99"/>
    <w:unhideWhenUsed/>
    <w:rsid w:val="00234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49C"/>
  </w:style>
  <w:style w:type="table" w:styleId="TableGrid">
    <w:name w:val="Table Grid"/>
    <w:basedOn w:val="TableNormal"/>
    <w:uiPriority w:val="59"/>
    <w:rsid w:val="006A2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3A53"/>
    <w:pPr>
      <w:ind w:left="720"/>
      <w:contextualSpacing/>
    </w:pPr>
  </w:style>
  <w:style w:type="character" w:styleId="Hyperlink">
    <w:name w:val="Hyperlink"/>
    <w:basedOn w:val="DefaultParagraphFont"/>
    <w:uiPriority w:val="99"/>
    <w:unhideWhenUsed/>
    <w:rsid w:val="001E737D"/>
    <w:rPr>
      <w:color w:val="0000FF" w:themeColor="hyperlink"/>
      <w:u w:val="single"/>
    </w:rPr>
  </w:style>
  <w:style w:type="paragraph" w:styleId="NoSpacing">
    <w:name w:val="No Spacing"/>
    <w:uiPriority w:val="1"/>
    <w:qFormat/>
    <w:rsid w:val="000632AF"/>
    <w:pPr>
      <w:spacing w:after="0" w:line="240" w:lineRule="auto"/>
    </w:pPr>
  </w:style>
  <w:style w:type="character" w:styleId="FollowedHyperlink">
    <w:name w:val="FollowedHyperlink"/>
    <w:basedOn w:val="DefaultParagraphFont"/>
    <w:uiPriority w:val="99"/>
    <w:semiHidden/>
    <w:unhideWhenUsed/>
    <w:rsid w:val="00A63B2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614367">
      <w:bodyDiv w:val="1"/>
      <w:marLeft w:val="0"/>
      <w:marRight w:val="0"/>
      <w:marTop w:val="0"/>
      <w:marBottom w:val="0"/>
      <w:divBdr>
        <w:top w:val="none" w:sz="0" w:space="0" w:color="auto"/>
        <w:left w:val="none" w:sz="0" w:space="0" w:color="auto"/>
        <w:bottom w:val="none" w:sz="0" w:space="0" w:color="auto"/>
        <w:right w:val="none" w:sz="0" w:space="0" w:color="auto"/>
      </w:divBdr>
    </w:div>
    <w:div w:id="194919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file:///\\it171oafs-oa17.boc.ad.census.gov\ECON_SHARE\QFR\Press%20Releases\2016\2016Q3\New%20Format\www.census.gov\developers\" TargetMode="External"/><Relationship Id="rId3" Type="http://schemas.openxmlformats.org/officeDocument/2006/relationships/customXml" Target="../customXml/item3.xml"/><Relationship Id="rId21" Type="http://schemas.openxmlformats.org/officeDocument/2006/relationships/hyperlink" Target="http://www.census.gov/economic-indicators/"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yperlink" Target="http://www.census.gov/mobile/economy/"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www.census.gov/econ/qfr/documents/QFR_Methodology.pdf"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file:///\\it171oafs-oa17.boc.ad.census.gov\ECON_SHARE\QFR\Press%20Releases\2016\2016Q3\New%20Format\www.census.gov\econ\qfr"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file:///\\it171oafs-oa17.boc.ad.census.gov\ECON_SHARE\QFR\Press%20Releases\2016\2016Q3\New%20Format\www.census.gov\econ\qfr"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1.jpg"/><Relationship Id="rId2" Type="http://schemas.openxmlformats.org/officeDocument/2006/relationships/hyperlink" Target="http://www.census.gov/manufacturing/m3" TargetMode="External"/><Relationship Id="rId1" Type="http://schemas.openxmlformats.org/officeDocument/2006/relationships/hyperlink" Target="mailto:csd.qfr@census.gov"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1" i="0" u="none" strike="noStrike" baseline="0">
                <a:solidFill>
                  <a:srgbClr val="000000"/>
                </a:solidFill>
                <a:latin typeface="Arial"/>
                <a:ea typeface="Arial"/>
                <a:cs typeface="Arial"/>
              </a:defRPr>
            </a:pPr>
            <a:r>
              <a:rPr lang="en-US" sz="900" b="1" i="0" u="none" strike="noStrike" baseline="0">
                <a:solidFill>
                  <a:srgbClr val="000000"/>
                </a:solidFill>
                <a:latin typeface="Arial"/>
                <a:cs typeface="Arial"/>
              </a:rPr>
              <a:t>U.S. Retail Trade Corporations </a:t>
            </a:r>
          </a:p>
          <a:p>
            <a:pPr>
              <a:defRPr sz="1000" b="1" i="0" u="none" strike="noStrike" baseline="0">
                <a:solidFill>
                  <a:srgbClr val="000000"/>
                </a:solidFill>
                <a:latin typeface="Arial"/>
                <a:ea typeface="Arial"/>
                <a:cs typeface="Arial"/>
              </a:defRPr>
            </a:pPr>
            <a:r>
              <a:rPr lang="en-US" sz="900" b="1" i="0" u="none" strike="noStrike" baseline="0">
                <a:solidFill>
                  <a:srgbClr val="000000"/>
                </a:solidFill>
                <a:latin typeface="Arial"/>
                <a:cs typeface="Arial"/>
              </a:rPr>
              <a:t>Seasonally Adjusted Quarterly After-Tax Profits</a:t>
            </a:r>
          </a:p>
          <a:p>
            <a:pPr>
              <a:defRPr sz="1000" b="1" i="0" u="none" strike="noStrike" baseline="0">
                <a:solidFill>
                  <a:srgbClr val="000000"/>
                </a:solidFill>
                <a:latin typeface="Arial"/>
                <a:ea typeface="Arial"/>
                <a:cs typeface="Arial"/>
              </a:defRPr>
            </a:pPr>
            <a:r>
              <a:rPr lang="en-US" sz="900" b="1" i="0" u="none" strike="noStrike" baseline="0">
                <a:solidFill>
                  <a:srgbClr val="000000"/>
                </a:solidFill>
                <a:latin typeface="Arial"/>
                <a:cs typeface="Arial"/>
              </a:rPr>
              <a:t>(Billions of dollars)</a:t>
            </a:r>
          </a:p>
          <a:p>
            <a:pPr>
              <a:defRPr sz="1000" b="1" i="0" u="none" strike="noStrike" baseline="0">
                <a:solidFill>
                  <a:srgbClr val="000000"/>
                </a:solidFill>
                <a:latin typeface="Arial"/>
                <a:ea typeface="Arial"/>
                <a:cs typeface="Arial"/>
              </a:defRPr>
            </a:pPr>
            <a:r>
              <a:rPr lang="en-US" sz="650" b="0" i="0" u="none" strike="noStrike" baseline="0">
                <a:effectLst/>
              </a:rPr>
              <a:t>Source: U.S. Census Bureau, Quarterly Financial Report</a:t>
            </a:r>
            <a:endParaRPr lang="en-US" sz="650" b="0" i="0" u="none" strike="noStrike" baseline="0">
              <a:solidFill>
                <a:srgbClr val="000000"/>
              </a:solidFill>
              <a:latin typeface="Arial"/>
              <a:cs typeface="Arial"/>
            </a:endParaRPr>
          </a:p>
        </c:rich>
      </c:tx>
      <c:layout>
        <c:manualLayout>
          <c:xMode val="edge"/>
          <c:yMode val="edge"/>
          <c:x val="0.11884762514326541"/>
          <c:y val="1.7808156795052238E-3"/>
        </c:manualLayout>
      </c:layout>
      <c:overlay val="0"/>
      <c:spPr>
        <a:noFill/>
        <a:ln w="25400">
          <a:noFill/>
        </a:ln>
      </c:spPr>
    </c:title>
    <c:autoTitleDeleted val="0"/>
    <c:plotArea>
      <c:layout>
        <c:manualLayout>
          <c:layoutTarget val="inner"/>
          <c:xMode val="edge"/>
          <c:yMode val="edge"/>
          <c:x val="6.0830860534124627E-2"/>
          <c:y val="0.22093036757502085"/>
          <c:w val="0.91839762611275966"/>
          <c:h val="0.58837276114276116"/>
        </c:manualLayout>
      </c:layout>
      <c:barChart>
        <c:barDir val="col"/>
        <c:grouping val="clustered"/>
        <c:varyColors val="0"/>
        <c:ser>
          <c:idx val="0"/>
          <c:order val="0"/>
          <c:tx>
            <c:strRef>
              <c:f>'Chart Data RET'!$A$2</c:f>
              <c:strCache>
                <c:ptCount val="1"/>
                <c:pt idx="0">
                  <c:v>First Quarter</c:v>
                </c:pt>
              </c:strCache>
            </c:strRef>
          </c:tx>
          <c:spPr>
            <a:solidFill>
              <a:srgbClr val="000080"/>
            </a:solidFill>
            <a:ln w="12700">
              <a:solidFill>
                <a:srgbClr val="000000"/>
              </a:solidFill>
              <a:prstDash val="solid"/>
            </a:ln>
          </c:spPr>
          <c:invertIfNegative val="0"/>
          <c:cat>
            <c:numRef>
              <c:f>'Chart Data RET'!$B$1:$F$1</c:f>
              <c:numCache>
                <c:formatCode>General</c:formatCode>
                <c:ptCount val="5"/>
                <c:pt idx="0">
                  <c:v>2012</c:v>
                </c:pt>
                <c:pt idx="1">
                  <c:v>2013</c:v>
                </c:pt>
                <c:pt idx="2">
                  <c:v>2014</c:v>
                </c:pt>
                <c:pt idx="3">
                  <c:v>2015</c:v>
                </c:pt>
                <c:pt idx="4">
                  <c:v>2016</c:v>
                </c:pt>
              </c:numCache>
            </c:numRef>
          </c:cat>
          <c:val>
            <c:numRef>
              <c:f>'Chart Data RET'!$B$2:$F$2</c:f>
              <c:numCache>
                <c:formatCode>0.0</c:formatCode>
                <c:ptCount val="5"/>
                <c:pt idx="0">
                  <c:v>16.600000000000001</c:v>
                </c:pt>
                <c:pt idx="1">
                  <c:v>17.3</c:v>
                </c:pt>
                <c:pt idx="2">
                  <c:v>14.6</c:v>
                </c:pt>
                <c:pt idx="3">
                  <c:v>23.1</c:v>
                </c:pt>
                <c:pt idx="4">
                  <c:v>20.2</c:v>
                </c:pt>
              </c:numCache>
            </c:numRef>
          </c:val>
        </c:ser>
        <c:ser>
          <c:idx val="1"/>
          <c:order val="1"/>
          <c:tx>
            <c:strRef>
              <c:f>'Chart Data RET'!$A$3</c:f>
              <c:strCache>
                <c:ptCount val="1"/>
                <c:pt idx="0">
                  <c:v>Second Quarter</c:v>
                </c:pt>
              </c:strCache>
            </c:strRef>
          </c:tx>
          <c:spPr>
            <a:solidFill>
              <a:srgbClr val="9999FF"/>
            </a:solidFill>
            <a:ln w="12700">
              <a:solidFill>
                <a:srgbClr val="000000"/>
              </a:solidFill>
              <a:prstDash val="solid"/>
            </a:ln>
          </c:spPr>
          <c:invertIfNegative val="0"/>
          <c:cat>
            <c:numRef>
              <c:f>'Chart Data RET'!$B$1:$F$1</c:f>
              <c:numCache>
                <c:formatCode>General</c:formatCode>
                <c:ptCount val="5"/>
                <c:pt idx="0">
                  <c:v>2012</c:v>
                </c:pt>
                <c:pt idx="1">
                  <c:v>2013</c:v>
                </c:pt>
                <c:pt idx="2">
                  <c:v>2014</c:v>
                </c:pt>
                <c:pt idx="3">
                  <c:v>2015</c:v>
                </c:pt>
                <c:pt idx="4">
                  <c:v>2016</c:v>
                </c:pt>
              </c:numCache>
            </c:numRef>
          </c:cat>
          <c:val>
            <c:numRef>
              <c:f>'Chart Data RET'!$B$3:$F$3</c:f>
              <c:numCache>
                <c:formatCode>0.0</c:formatCode>
                <c:ptCount val="5"/>
                <c:pt idx="0">
                  <c:v>20</c:v>
                </c:pt>
                <c:pt idx="1">
                  <c:v>22.1</c:v>
                </c:pt>
                <c:pt idx="2">
                  <c:v>21.4</c:v>
                </c:pt>
                <c:pt idx="3">
                  <c:v>22.3</c:v>
                </c:pt>
                <c:pt idx="4">
                  <c:v>23.3</c:v>
                </c:pt>
              </c:numCache>
            </c:numRef>
          </c:val>
        </c:ser>
        <c:ser>
          <c:idx val="2"/>
          <c:order val="2"/>
          <c:tx>
            <c:strRef>
              <c:f>'Chart Data RET'!$A$4</c:f>
              <c:strCache>
                <c:ptCount val="1"/>
                <c:pt idx="0">
                  <c:v>Third Quarter</c:v>
                </c:pt>
              </c:strCache>
            </c:strRef>
          </c:tx>
          <c:spPr>
            <a:solidFill>
              <a:srgbClr val="993366"/>
            </a:solidFill>
            <a:ln w="12700">
              <a:solidFill>
                <a:srgbClr val="000000"/>
              </a:solidFill>
              <a:prstDash val="solid"/>
            </a:ln>
          </c:spPr>
          <c:invertIfNegative val="0"/>
          <c:cat>
            <c:numRef>
              <c:f>'Chart Data RET'!$B$1:$F$1</c:f>
              <c:numCache>
                <c:formatCode>General</c:formatCode>
                <c:ptCount val="5"/>
                <c:pt idx="0">
                  <c:v>2012</c:v>
                </c:pt>
                <c:pt idx="1">
                  <c:v>2013</c:v>
                </c:pt>
                <c:pt idx="2">
                  <c:v>2014</c:v>
                </c:pt>
                <c:pt idx="3">
                  <c:v>2015</c:v>
                </c:pt>
                <c:pt idx="4">
                  <c:v>2016</c:v>
                </c:pt>
              </c:numCache>
            </c:numRef>
          </c:cat>
          <c:val>
            <c:numRef>
              <c:f>'Chart Data RET'!$B$4:$F$4</c:f>
              <c:numCache>
                <c:formatCode>0.0</c:formatCode>
                <c:ptCount val="5"/>
                <c:pt idx="0">
                  <c:v>17</c:v>
                </c:pt>
                <c:pt idx="1">
                  <c:v>19.3</c:v>
                </c:pt>
                <c:pt idx="2">
                  <c:v>18.100000000000001</c:v>
                </c:pt>
                <c:pt idx="3">
                  <c:v>20.100000000000001</c:v>
                </c:pt>
                <c:pt idx="4">
                  <c:v>23.9</c:v>
                </c:pt>
              </c:numCache>
            </c:numRef>
          </c:val>
        </c:ser>
        <c:ser>
          <c:idx val="3"/>
          <c:order val="3"/>
          <c:tx>
            <c:strRef>
              <c:f>'Chart Data RET'!$A$5</c:f>
              <c:strCache>
                <c:ptCount val="1"/>
                <c:pt idx="0">
                  <c:v>Fourth Quarter</c:v>
                </c:pt>
              </c:strCache>
            </c:strRef>
          </c:tx>
          <c:spPr>
            <a:solidFill>
              <a:srgbClr val="CC99FF"/>
            </a:solidFill>
            <a:ln w="12700">
              <a:solidFill>
                <a:srgbClr val="000000"/>
              </a:solidFill>
              <a:prstDash val="solid"/>
            </a:ln>
          </c:spPr>
          <c:invertIfNegative val="0"/>
          <c:cat>
            <c:numRef>
              <c:f>'Chart Data RET'!$B$1:$F$1</c:f>
              <c:numCache>
                <c:formatCode>General</c:formatCode>
                <c:ptCount val="5"/>
                <c:pt idx="0">
                  <c:v>2012</c:v>
                </c:pt>
                <c:pt idx="1">
                  <c:v>2013</c:v>
                </c:pt>
                <c:pt idx="2">
                  <c:v>2014</c:v>
                </c:pt>
                <c:pt idx="3">
                  <c:v>2015</c:v>
                </c:pt>
                <c:pt idx="4">
                  <c:v>2016</c:v>
                </c:pt>
              </c:numCache>
            </c:numRef>
          </c:cat>
          <c:val>
            <c:numRef>
              <c:f>'Chart Data RET'!$B$5:$F$5</c:f>
              <c:numCache>
                <c:formatCode>0.0</c:formatCode>
                <c:ptCount val="5"/>
                <c:pt idx="0">
                  <c:v>19.899999999999999</c:v>
                </c:pt>
                <c:pt idx="1">
                  <c:v>22</c:v>
                </c:pt>
                <c:pt idx="2">
                  <c:v>19.899999999999999</c:v>
                </c:pt>
                <c:pt idx="3">
                  <c:v>23.6</c:v>
                </c:pt>
              </c:numCache>
            </c:numRef>
          </c:val>
        </c:ser>
        <c:dLbls>
          <c:showLegendKey val="0"/>
          <c:showVal val="0"/>
          <c:showCatName val="0"/>
          <c:showSerName val="0"/>
          <c:showPercent val="0"/>
          <c:showBubbleSize val="0"/>
        </c:dLbls>
        <c:gapWidth val="80"/>
        <c:axId val="321444864"/>
        <c:axId val="326895488"/>
      </c:barChart>
      <c:catAx>
        <c:axId val="321444864"/>
        <c:scaling>
          <c:orientation val="minMax"/>
        </c:scaling>
        <c:delete val="0"/>
        <c:axPos val="b"/>
        <c:numFmt formatCode="General" sourceLinked="1"/>
        <c:majorTickMark val="none"/>
        <c:minorTickMark val="none"/>
        <c:tickLblPos val="low"/>
        <c:spPr>
          <a:ln w="3175">
            <a:noFill/>
            <a:prstDash val="solid"/>
          </a:ln>
        </c:spPr>
        <c:txPr>
          <a:bodyPr rot="0" vert="horz"/>
          <a:lstStyle/>
          <a:p>
            <a:pPr>
              <a:defRPr sz="700" b="1" i="0" u="none" strike="noStrike" baseline="0">
                <a:solidFill>
                  <a:srgbClr val="000000"/>
                </a:solidFill>
                <a:latin typeface="Arial"/>
                <a:ea typeface="Arial"/>
                <a:cs typeface="Arial"/>
              </a:defRPr>
            </a:pPr>
            <a:endParaRPr lang="en-US"/>
          </a:p>
        </c:txPr>
        <c:crossAx val="326895488"/>
        <c:crosses val="autoZero"/>
        <c:auto val="0"/>
        <c:lblAlgn val="ctr"/>
        <c:lblOffset val="100"/>
        <c:tickLblSkip val="1"/>
        <c:tickMarkSkip val="1"/>
        <c:noMultiLvlLbl val="0"/>
      </c:catAx>
      <c:valAx>
        <c:axId val="326895488"/>
        <c:scaling>
          <c:orientation val="minMax"/>
          <c:max val="30"/>
          <c:min val="0"/>
        </c:scaling>
        <c:delete val="0"/>
        <c:axPos val="l"/>
        <c:majorGridlines>
          <c:spPr>
            <a:ln w="3175">
              <a:solidFill>
                <a:srgbClr val="000000"/>
              </a:solidFill>
              <a:prstDash val="solid"/>
            </a:ln>
            <a:effectLst/>
          </c:spPr>
        </c:majorGridlines>
        <c:numFmt formatCode="0" sourceLinked="0"/>
        <c:majorTickMark val="none"/>
        <c:minorTickMark val="none"/>
        <c:tickLblPos val="low"/>
        <c:spPr>
          <a:ln w="12700">
            <a:noFill/>
            <a:prstDash val="solid"/>
          </a:ln>
        </c:spPr>
        <c:txPr>
          <a:bodyPr rot="0" vert="horz"/>
          <a:lstStyle/>
          <a:p>
            <a:pPr>
              <a:defRPr sz="700" b="1" i="0" u="none" strike="noStrike" baseline="0">
                <a:solidFill>
                  <a:srgbClr val="000000"/>
                </a:solidFill>
                <a:latin typeface="Arial"/>
                <a:ea typeface="Arial"/>
                <a:cs typeface="Arial"/>
              </a:defRPr>
            </a:pPr>
            <a:endParaRPr lang="en-US"/>
          </a:p>
        </c:txPr>
        <c:crossAx val="321444864"/>
        <c:crosses val="autoZero"/>
        <c:crossBetween val="between"/>
        <c:majorUnit val="5"/>
        <c:minorUnit val="1"/>
      </c:valAx>
      <c:spPr>
        <a:noFill/>
        <a:ln w="3175">
          <a:solidFill>
            <a:srgbClr val="808080"/>
          </a:solidFill>
          <a:prstDash val="solid"/>
        </a:ln>
        <a:effectLst/>
      </c:spPr>
    </c:plotArea>
    <c:legend>
      <c:legendPos val="r"/>
      <c:legendEntry>
        <c:idx val="0"/>
        <c:txPr>
          <a:bodyPr/>
          <a:lstStyle/>
          <a:p>
            <a:pPr>
              <a:defRPr sz="700" b="1" i="0" u="none" strike="noStrike" baseline="0">
                <a:solidFill>
                  <a:srgbClr val="000000"/>
                </a:solidFill>
                <a:latin typeface="Arial"/>
                <a:ea typeface="Arial"/>
                <a:cs typeface="Arial"/>
              </a:defRPr>
            </a:pPr>
            <a:endParaRPr lang="en-US"/>
          </a:p>
        </c:txPr>
      </c:legendEntry>
      <c:legendEntry>
        <c:idx val="1"/>
        <c:txPr>
          <a:bodyPr/>
          <a:lstStyle/>
          <a:p>
            <a:pPr>
              <a:defRPr sz="700" b="1" i="0" u="none" strike="noStrike" baseline="0">
                <a:solidFill>
                  <a:srgbClr val="000000"/>
                </a:solidFill>
                <a:latin typeface="Arial"/>
                <a:ea typeface="Arial"/>
                <a:cs typeface="Arial"/>
              </a:defRPr>
            </a:pPr>
            <a:endParaRPr lang="en-US"/>
          </a:p>
        </c:txPr>
      </c:legendEntry>
      <c:legendEntry>
        <c:idx val="2"/>
        <c:txPr>
          <a:bodyPr/>
          <a:lstStyle/>
          <a:p>
            <a:pPr>
              <a:defRPr sz="700" b="1" i="0" u="none" strike="noStrike" baseline="0">
                <a:solidFill>
                  <a:srgbClr val="000000"/>
                </a:solidFill>
                <a:latin typeface="Arial"/>
                <a:ea typeface="Arial"/>
                <a:cs typeface="Arial"/>
              </a:defRPr>
            </a:pPr>
            <a:endParaRPr lang="en-US"/>
          </a:p>
        </c:txPr>
      </c:legendEntry>
      <c:legendEntry>
        <c:idx val="3"/>
        <c:txPr>
          <a:bodyPr/>
          <a:lstStyle/>
          <a:p>
            <a:pPr>
              <a:defRPr sz="700" b="1" i="0" u="none" strike="noStrike" baseline="0">
                <a:solidFill>
                  <a:srgbClr val="000000"/>
                </a:solidFill>
                <a:latin typeface="Arial"/>
                <a:ea typeface="Arial"/>
                <a:cs typeface="Arial"/>
              </a:defRPr>
            </a:pPr>
            <a:endParaRPr lang="en-US"/>
          </a:p>
        </c:txPr>
      </c:legendEntry>
      <c:layout>
        <c:manualLayout>
          <c:xMode val="edge"/>
          <c:yMode val="edge"/>
          <c:x val="2.9386865494283848E-2"/>
          <c:y val="0.90000255012966424"/>
          <c:w val="0.94501322547363742"/>
          <c:h val="6.2031356509884117E-2"/>
        </c:manualLayout>
      </c:layout>
      <c:overlay val="0"/>
      <c:spPr>
        <a:solidFill>
          <a:srgbClr val="FFFFFF"/>
        </a:solidFill>
        <a:ln w="3175">
          <a:solidFill>
            <a:srgbClr val="000000"/>
          </a:solidFill>
          <a:prstDash val="solid"/>
        </a:ln>
      </c:spPr>
      <c:txPr>
        <a:bodyPr/>
        <a:lstStyle/>
        <a:p>
          <a:pPr>
            <a:defRPr sz="700" b="1" i="0" u="none" strike="noStrike" baseline="0">
              <a:solidFill>
                <a:srgbClr val="000000"/>
              </a:solidFill>
              <a:latin typeface="Arial"/>
              <a:ea typeface="Arial"/>
              <a:cs typeface="Arial"/>
            </a:defRPr>
          </a:pPr>
          <a:endParaRPr lang="en-US"/>
        </a:p>
      </c:txPr>
    </c:legend>
    <c:plotVisOnly val="1"/>
    <c:dispBlanksAs val="gap"/>
    <c:showDLblsOverMax val="0"/>
  </c:chart>
  <c:spPr>
    <a:noFill/>
    <a:ln w="3175">
      <a:solidFill>
        <a:srgbClr val="000000"/>
      </a:solidFill>
      <a:prstDash val="solid"/>
    </a:ln>
  </c:spPr>
  <c:txPr>
    <a:bodyPr/>
    <a:lstStyle/>
    <a:p>
      <a:pPr>
        <a:defRPr sz="1000" b="1"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88D10C07BF10E45A5750F42D95719FD" ma:contentTypeVersion="19" ma:contentTypeDescription="Create a new document." ma:contentTypeScope="" ma:versionID="73736f085d270f388ec939c1158a1672">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11/19/2015 11:08:58 PM</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11/19/2015 11:08:58 PM</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11/19/2015 11:08:58 PM</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67E6F-578F-4F4D-A909-03B8AB263DCA}">
  <ds:schemaRefs>
    <ds:schemaRef ds:uri="http://schemas.microsoft.com/office/2006/metadata/properties"/>
    <ds:schemaRef ds:uri="http://www.w3.org/XML/1998/namespace"/>
    <ds:schemaRef ds:uri="http://purl.org/dc/elements/1.1/"/>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0B46247B-33F3-4576-97A8-021954BFA7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B5C5D82-4BA1-4476-9BB5-2ECF5CB23216}">
  <ds:schemaRefs>
    <ds:schemaRef ds:uri="http://schemas.microsoft.com/sharepoint/events"/>
  </ds:schemaRefs>
</ds:datastoreItem>
</file>

<file path=customXml/itemProps4.xml><?xml version="1.0" encoding="utf-8"?>
<ds:datastoreItem xmlns:ds="http://schemas.openxmlformats.org/officeDocument/2006/customXml" ds:itemID="{E39479DD-8E46-498B-A4A3-90D758419368}">
  <ds:schemaRefs>
    <ds:schemaRef ds:uri="http://schemas.microsoft.com/sharepoint/v3/contenttype/forms"/>
  </ds:schemaRefs>
</ds:datastoreItem>
</file>

<file path=customXml/itemProps5.xml><?xml version="1.0" encoding="utf-8"?>
<ds:datastoreItem xmlns:ds="http://schemas.openxmlformats.org/officeDocument/2006/customXml" ds:itemID="{0E45A93D-FA13-4639-AAB3-52F531255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9C96B99.dotm</Template>
  <TotalTime>2</TotalTime>
  <Pages>4</Pages>
  <Words>1189</Words>
  <Characters>6780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7954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E Kafchinski</dc:creator>
  <cp:lastModifiedBy>Brandi Maxson</cp:lastModifiedBy>
  <cp:revision>3</cp:revision>
  <cp:lastPrinted>2016-12-01T22:16:00Z</cp:lastPrinted>
  <dcterms:created xsi:type="dcterms:W3CDTF">2016-12-02T17:01:00Z</dcterms:created>
  <dcterms:modified xsi:type="dcterms:W3CDTF">2016-12-02T18:11:00Z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0x010100B88D10C07BF10E45A5750F42D95719FD</vt:lpwstr>
  </property>
</Properties>
</file>